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1751C9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20F5C">
        <w:rPr>
          <w:sz w:val="32"/>
          <w:szCs w:val="32"/>
        </w:rPr>
        <w:t>2</w:t>
      </w:r>
      <w:r w:rsidR="00DF66E1">
        <w:rPr>
          <w:sz w:val="32"/>
          <w:szCs w:val="32"/>
        </w:rPr>
        <w:t>2</w:t>
      </w:r>
      <w:r w:rsidR="00E42038">
        <w:rPr>
          <w:sz w:val="32"/>
          <w:szCs w:val="32"/>
        </w:rPr>
        <w:t>07726</w:t>
      </w:r>
    </w:p>
    <w:p w14:paraId="0DEF01D1" w14:textId="77777777" w:rsidR="00E90E49" w:rsidRPr="00CE0424" w:rsidRDefault="00C268E6" w:rsidP="00311702">
      <w:pPr>
        <w:pStyle w:val="3GPPHeader"/>
      </w:pPr>
      <w:r>
        <w:t>Electronic meeting, 202</w:t>
      </w:r>
      <w:r w:rsidR="00DF66E1">
        <w:t>2-08-17 - 2022-08-29</w:t>
      </w:r>
    </w:p>
    <w:p w14:paraId="252563D4" w14:textId="77777777" w:rsidR="00E90E49" w:rsidRPr="00CE0424" w:rsidRDefault="00E90E49" w:rsidP="00357380">
      <w:pPr>
        <w:pStyle w:val="3GPPHeader"/>
      </w:pPr>
    </w:p>
    <w:p w14:paraId="267378A2" w14:textId="068AA50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D4266">
        <w:rPr>
          <w:sz w:val="22"/>
          <w:szCs w:val="22"/>
        </w:rPr>
        <w:t>8.4.3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137EF0A" w:rsidR="00E90E49" w:rsidRPr="00CE0424" w:rsidRDefault="003D3C45" w:rsidP="00311702">
      <w:pPr>
        <w:pStyle w:val="3GPPHeader"/>
        <w:rPr>
          <w:sz w:val="22"/>
          <w:szCs w:val="22"/>
        </w:rPr>
      </w:pPr>
      <w:r>
        <w:rPr>
          <w:sz w:val="22"/>
          <w:szCs w:val="22"/>
        </w:rPr>
        <w:t>Title:</w:t>
      </w:r>
      <w:r w:rsidR="00E90E49" w:rsidRPr="00CE0424">
        <w:rPr>
          <w:sz w:val="22"/>
          <w:szCs w:val="22"/>
        </w:rPr>
        <w:tab/>
      </w:r>
      <w:r w:rsidR="00FD4266">
        <w:rPr>
          <w:sz w:val="22"/>
          <w:szCs w:val="22"/>
        </w:rPr>
        <w:t>NR-DC with selective activation</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93BF6">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1095B22E" w14:textId="75E35BA7" w:rsidR="00477768" w:rsidRDefault="00FD4266" w:rsidP="00CE0424">
      <w:pPr>
        <w:pStyle w:val="BodyText"/>
      </w:pPr>
      <w:r>
        <w:t xml:space="preserve">The Rel-18 work on further NR mobility enhancements is described in the WID in </w:t>
      </w:r>
      <w:r>
        <w:fldChar w:fldCharType="begin"/>
      </w:r>
      <w:r>
        <w:instrText xml:space="preserve"> REF _Ref107489175 \r \h </w:instrText>
      </w:r>
      <w:r>
        <w:fldChar w:fldCharType="separate"/>
      </w:r>
      <w:r>
        <w:t>[1]</w:t>
      </w:r>
      <w:r>
        <w:fldChar w:fldCharType="end"/>
      </w:r>
      <w:r>
        <w:t>. It includes</w:t>
      </w:r>
      <w:r w:rsidR="00987F1F">
        <w:t>, among others,</w:t>
      </w:r>
      <w:r>
        <w:t xml:space="preserve"> </w:t>
      </w:r>
      <w:r w:rsidR="00987F1F">
        <w:t xml:space="preserve">an </w:t>
      </w:r>
      <w:r>
        <w:t xml:space="preserve">objective related to </w:t>
      </w:r>
      <w:r w:rsidR="00761C9F">
        <w:t xml:space="preserve">enhancements for </w:t>
      </w:r>
      <w:proofErr w:type="spellStart"/>
      <w:r w:rsidR="00761C9F">
        <w:t>PSCell</w:t>
      </w:r>
      <w:proofErr w:type="spellEnd"/>
      <w:r w:rsidR="00761C9F">
        <w:t xml:space="preserve"> </w:t>
      </w:r>
      <w:r>
        <w:t xml:space="preserve">mobility </w:t>
      </w:r>
      <w:r w:rsidR="00761C9F">
        <w:t>in case of NR-DC configurations</w:t>
      </w:r>
      <w:r w:rsidR="00987F1F">
        <w:t xml:space="preserve"> (objective 2)</w:t>
      </w:r>
      <w:r>
        <w:t>:</w:t>
      </w:r>
    </w:p>
    <w:p w14:paraId="2F24C594" w14:textId="77777777" w:rsidR="00FD4266" w:rsidRDefault="00FD4266" w:rsidP="00261C7F">
      <w:pPr>
        <w:numPr>
          <w:ilvl w:val="0"/>
          <w:numId w:val="23"/>
        </w:numPr>
        <w:spacing w:after="0"/>
        <w:jc w:val="both"/>
        <w:rPr>
          <w:bCs/>
          <w:lang w:val="en-US"/>
        </w:rPr>
      </w:pPr>
      <w:r>
        <w:rPr>
          <w:bCs/>
          <w:lang w:val="en-US"/>
        </w:rPr>
        <w:t>To specify mechanism and procedures of NR-DC with selective activation of the cell groups (at least for SCG) via L3 enhancements:</w:t>
      </w:r>
    </w:p>
    <w:p w14:paraId="30BC9C5A" w14:textId="77777777" w:rsidR="00FD4266" w:rsidRDefault="00FD4266" w:rsidP="00FD4266">
      <w:pPr>
        <w:numPr>
          <w:ilvl w:val="0"/>
          <w:numId w:val="24"/>
        </w:numPr>
        <w:spacing w:after="0"/>
        <w:jc w:val="both"/>
        <w:rPr>
          <w:bCs/>
          <w:lang w:val="en-US"/>
        </w:rPr>
      </w:pPr>
      <w:r>
        <w:rPr>
          <w:bCs/>
          <w:lang w:val="en-US"/>
        </w:rPr>
        <w:t xml:space="preserve">To allow subsequent cell group </w:t>
      </w:r>
      <w:proofErr w:type="gramStart"/>
      <w:r>
        <w:rPr>
          <w:bCs/>
          <w:lang w:val="en-US"/>
        </w:rPr>
        <w:t>change</w:t>
      </w:r>
      <w:proofErr w:type="gramEnd"/>
      <w:r>
        <w:rPr>
          <w:bCs/>
          <w:lang w:val="en-US"/>
        </w:rPr>
        <w:t xml:space="preserve"> after changing </w:t>
      </w:r>
      <w:r w:rsidRPr="009F7B9C">
        <w:rPr>
          <w:bCs/>
          <w:lang w:val="en-US"/>
        </w:rPr>
        <w:t>CG</w:t>
      </w:r>
      <w:r>
        <w:rPr>
          <w:bCs/>
          <w:lang w:val="en-US"/>
        </w:rPr>
        <w:t xml:space="preserve"> without reconfiguration and re-initiation of CPC/CPA [RAN2, RAN3, RAN4]</w:t>
      </w:r>
    </w:p>
    <w:p w14:paraId="4EC6FD83" w14:textId="77777777" w:rsidR="00FD4266" w:rsidRPr="00F736B4" w:rsidRDefault="00FD4266" w:rsidP="00FD4266">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02F7CD26" w14:textId="0762F78D" w:rsidR="00FD4266" w:rsidRDefault="00FD4266" w:rsidP="00CE0424">
      <w:pPr>
        <w:pStyle w:val="BodyText"/>
      </w:pPr>
    </w:p>
    <w:p w14:paraId="7ABF8C2C" w14:textId="14108882" w:rsidR="001A4729" w:rsidRDefault="001A4729" w:rsidP="00CE0424">
      <w:pPr>
        <w:pStyle w:val="BodyText"/>
      </w:pPr>
      <w:r>
        <w:t xml:space="preserve">The WID in </w:t>
      </w:r>
      <w:r>
        <w:fldChar w:fldCharType="begin"/>
      </w:r>
      <w:r>
        <w:instrText xml:space="preserve"> REF _Ref107489175 \r \h </w:instrText>
      </w:r>
      <w:r>
        <w:fldChar w:fldCharType="separate"/>
      </w:r>
      <w:r>
        <w:t>[1]</w:t>
      </w:r>
      <w:r>
        <w:fldChar w:fldCharType="end"/>
      </w:r>
      <w:r>
        <w:t xml:space="preserve"> also includes the following justification related to the above objective:</w:t>
      </w:r>
    </w:p>
    <w:p w14:paraId="032004CC" w14:textId="77777777" w:rsidR="001A4729" w:rsidRPr="001A4729" w:rsidRDefault="001A4729" w:rsidP="001A4729">
      <w:pPr>
        <w:spacing w:before="120" w:after="0"/>
        <w:ind w:left="567"/>
        <w:rPr>
          <w:bCs/>
          <w:i/>
          <w:iCs/>
        </w:rPr>
      </w:pPr>
      <w:r w:rsidRPr="001A4729">
        <w:rPr>
          <w:bCs/>
          <w:i/>
          <w:iCs/>
        </w:rPr>
        <w:t xml:space="preserve">In Rel-17 Conditional </w:t>
      </w:r>
      <w:proofErr w:type="spellStart"/>
      <w:r w:rsidRPr="001A4729">
        <w:rPr>
          <w:bCs/>
          <w:i/>
          <w:iCs/>
        </w:rPr>
        <w:t>PSCell</w:t>
      </w:r>
      <w:proofErr w:type="spellEnd"/>
      <w:r w:rsidRPr="001A4729">
        <w:rPr>
          <w:bCs/>
          <w:i/>
          <w:iCs/>
        </w:rPr>
        <w:t xml:space="preserve"> change (CPC)/Conditional </w:t>
      </w:r>
      <w:proofErr w:type="spellStart"/>
      <w:r w:rsidRPr="001A4729">
        <w:rPr>
          <w:bCs/>
          <w:i/>
          <w:iCs/>
        </w:rPr>
        <w:t>PSCell</w:t>
      </w:r>
      <w:proofErr w:type="spellEnd"/>
      <w:r w:rsidRPr="001A4729">
        <w:rPr>
          <w:bCs/>
          <w:i/>
          <w:iCs/>
        </w:rPr>
        <w:t xml:space="preserve"> addition (CPA), a CPC/CPA-configured UE </w:t>
      </w:r>
      <w:proofErr w:type="gramStart"/>
      <w:r w:rsidRPr="001A4729">
        <w:rPr>
          <w:bCs/>
          <w:i/>
          <w:iCs/>
        </w:rPr>
        <w:t>has to</w:t>
      </w:r>
      <w:proofErr w:type="gramEnd"/>
      <w:r w:rsidRPr="001A4729">
        <w:rPr>
          <w:bCs/>
          <w:i/>
          <w:iCs/>
        </w:rPr>
        <w:t xml:space="preserve"> release the CPC/CPA configurations when completing random access towards the target </w:t>
      </w:r>
      <w:proofErr w:type="spellStart"/>
      <w:r w:rsidRPr="001A4729">
        <w:rPr>
          <w:bCs/>
          <w:i/>
          <w:iCs/>
        </w:rPr>
        <w:t>PSCell</w:t>
      </w:r>
      <w:proofErr w:type="spellEnd"/>
      <w:r w:rsidRPr="001A4729">
        <w:rPr>
          <w:bCs/>
          <w:i/>
          <w:iCs/>
        </w:rPr>
        <w:t>. Hence the UE doesn’t have a chance to perform subsequent</w:t>
      </w:r>
      <w:r w:rsidRPr="001A4729">
        <w:rPr>
          <w:rFonts w:hint="eastAsia"/>
          <w:bCs/>
          <w:i/>
          <w:iCs/>
        </w:rPr>
        <w:t xml:space="preserve"> </w:t>
      </w:r>
      <w:r w:rsidRPr="001A4729">
        <w:rPr>
          <w:bCs/>
          <w:i/>
          <w:iCs/>
        </w:rPr>
        <w:t>CPC/CPA without prior CPC/CPA reconfiguration and re-initialization from the network. This will increase the</w:t>
      </w:r>
      <w:r w:rsidRPr="001A4729">
        <w:rPr>
          <w:rFonts w:hint="eastAsia"/>
          <w:bCs/>
          <w:i/>
          <w:iCs/>
        </w:rPr>
        <w:t xml:space="preserve"> </w:t>
      </w:r>
      <w:r w:rsidRPr="001A4729">
        <w:rPr>
          <w:bCs/>
          <w:i/>
          <w:iCs/>
        </w:rPr>
        <w:t xml:space="preserve">delay for the cell change and increase the </w:t>
      </w:r>
      <w:proofErr w:type="spellStart"/>
      <w:r w:rsidRPr="001A4729">
        <w:rPr>
          <w:bCs/>
          <w:i/>
          <w:iCs/>
        </w:rPr>
        <w:t>signaling</w:t>
      </w:r>
      <w:proofErr w:type="spellEnd"/>
      <w:r w:rsidRPr="001A4729">
        <w:rPr>
          <w:bCs/>
          <w:i/>
          <w:iCs/>
        </w:rPr>
        <w:t xml:space="preserve"> overhead, especially in the case of frequent SCG changes when</w:t>
      </w:r>
      <w:r w:rsidRPr="001A4729">
        <w:rPr>
          <w:rFonts w:hint="eastAsia"/>
          <w:bCs/>
          <w:i/>
          <w:iCs/>
        </w:rPr>
        <w:t xml:space="preserve"> </w:t>
      </w:r>
      <w:r w:rsidRPr="001A4729">
        <w:rPr>
          <w:bCs/>
          <w:i/>
          <w:iCs/>
        </w:rPr>
        <w:t>operating FR2. Therefore, MR-DC with selective activation of cell groups aims at enabling</w:t>
      </w:r>
      <w:r w:rsidRPr="001A4729">
        <w:rPr>
          <w:rFonts w:hint="eastAsia"/>
          <w:bCs/>
          <w:i/>
          <w:iCs/>
        </w:rPr>
        <w:t xml:space="preserve"> </w:t>
      </w:r>
      <w:r w:rsidRPr="001A4729">
        <w:rPr>
          <w:bCs/>
          <w:i/>
          <w:iCs/>
        </w:rPr>
        <w:t>subsequent CPC/CPA after SCG change, without reconfiguration and re-initialization on the CPC/CPA</w:t>
      </w:r>
      <w:r w:rsidRPr="001A4729">
        <w:rPr>
          <w:rFonts w:hint="eastAsia"/>
          <w:bCs/>
          <w:i/>
          <w:iCs/>
        </w:rPr>
        <w:t xml:space="preserve"> </w:t>
      </w:r>
      <w:r w:rsidRPr="001A4729">
        <w:rPr>
          <w:bCs/>
          <w:i/>
          <w:iCs/>
        </w:rPr>
        <w:t>preparation from the network. This results in a reduction of the signalling overhead and interrupting time for SCG change.</w:t>
      </w:r>
    </w:p>
    <w:p w14:paraId="19F316A2" w14:textId="77777777" w:rsidR="001A4729" w:rsidRDefault="001A4729" w:rsidP="00CE0424">
      <w:pPr>
        <w:pStyle w:val="BodyText"/>
      </w:pPr>
    </w:p>
    <w:p w14:paraId="29A85DE4" w14:textId="1D96F740" w:rsidR="00FD4266" w:rsidRDefault="00FD4266" w:rsidP="00CE0424">
      <w:pPr>
        <w:pStyle w:val="BodyText"/>
      </w:pPr>
      <w:r>
        <w:t xml:space="preserve">In this contribution we discuss </w:t>
      </w:r>
      <w:r w:rsidR="00261C7F">
        <w:t xml:space="preserve">our understanding on the aspects to improve for the above objective </w:t>
      </w:r>
      <w:r w:rsidR="00261C7F" w:rsidRPr="00691710">
        <w:t>and solutions that should be considered in the work</w:t>
      </w:r>
      <w:r w:rsidR="00261C7F">
        <w:t>.</w:t>
      </w:r>
    </w:p>
    <w:p w14:paraId="04EBD344" w14:textId="77777777" w:rsidR="00261C7F" w:rsidRDefault="00261C7F" w:rsidP="00CE0424">
      <w:pPr>
        <w:pStyle w:val="BodyText"/>
      </w:pPr>
    </w:p>
    <w:p w14:paraId="59E13DC4" w14:textId="3DC56BBD" w:rsidR="004000E8" w:rsidRDefault="00230D18" w:rsidP="00CE0424">
      <w:pPr>
        <w:pStyle w:val="Heading1"/>
      </w:pPr>
      <w:bookmarkStart w:id="0" w:name="_Ref178064866"/>
      <w:r>
        <w:t>2</w:t>
      </w:r>
      <w:r>
        <w:tab/>
      </w:r>
      <w:r w:rsidR="004000E8" w:rsidRPr="00CE0424">
        <w:t>Discussion</w:t>
      </w:r>
      <w:bookmarkEnd w:id="0"/>
    </w:p>
    <w:p w14:paraId="3D2A8519" w14:textId="5D2D3442" w:rsidR="00261C7F" w:rsidRDefault="00261C7F" w:rsidP="00261C7F">
      <w:pPr>
        <w:pStyle w:val="Heading2"/>
      </w:pPr>
      <w:r>
        <w:t>2.1</w:t>
      </w:r>
      <w:r>
        <w:tab/>
        <w:t>NR-DC with selective activation</w:t>
      </w:r>
    </w:p>
    <w:p w14:paraId="232A7F59" w14:textId="0697FAA7" w:rsidR="00691710" w:rsidRPr="00E013F9" w:rsidRDefault="00E013F9" w:rsidP="00DB3F00">
      <w:r>
        <w:t>As described in the WID (</w:t>
      </w:r>
      <w:r w:rsidRPr="00E013F9">
        <w:fldChar w:fldCharType="begin"/>
      </w:r>
      <w:r w:rsidRPr="00E013F9">
        <w:instrText xml:space="preserve"> REF _Ref107489175 \r \h </w:instrText>
      </w:r>
      <w:r>
        <w:instrText xml:space="preserve"> \* MERGEFORMAT </w:instrText>
      </w:r>
      <w:r w:rsidRPr="00E013F9">
        <w:fldChar w:fldCharType="separate"/>
      </w:r>
      <w:r w:rsidRPr="00E013F9">
        <w:t>[1]</w:t>
      </w:r>
      <w:r w:rsidRPr="00E013F9">
        <w:fldChar w:fldCharType="end"/>
      </w:r>
      <w:r>
        <w:t xml:space="preserve">) the focus for NR-DC with selective activation is the case of frequent SCG changes when operating in FR2, where the delays for cell changes and the signalling overhead should be reduced. </w:t>
      </w:r>
      <w:r w:rsidR="00691710" w:rsidRPr="00E013F9">
        <w:t xml:space="preserve">The </w:t>
      </w:r>
      <w:r>
        <w:t xml:space="preserve">work item also </w:t>
      </w:r>
      <w:r w:rsidR="00691710" w:rsidRPr="00E013F9">
        <w:t xml:space="preserve">includes </w:t>
      </w:r>
      <w:r>
        <w:t xml:space="preserve">other </w:t>
      </w:r>
      <w:r w:rsidR="00691710" w:rsidRPr="00E013F9">
        <w:t xml:space="preserve">parts for mobility enhancements in Rel-18, </w:t>
      </w:r>
      <w:r w:rsidR="00E63AA5">
        <w:t xml:space="preserve">such as </w:t>
      </w:r>
      <w:r>
        <w:t xml:space="preserve">the </w:t>
      </w:r>
      <w:r w:rsidR="00691710" w:rsidRPr="00E013F9">
        <w:t xml:space="preserve">introduction of L1/L2 based inter-cell mobility mechanisms and procedures </w:t>
      </w:r>
      <w:r w:rsidRPr="00E013F9">
        <w:t xml:space="preserve">as well as </w:t>
      </w:r>
      <w:r w:rsidR="00691710" w:rsidRPr="00E013F9">
        <w:t xml:space="preserve">enhancements </w:t>
      </w:r>
      <w:r w:rsidRPr="00E013F9">
        <w:t xml:space="preserve">to support CHO with candidate </w:t>
      </w:r>
      <w:r w:rsidRPr="00987F1F">
        <w:t xml:space="preserve">SCGs. </w:t>
      </w:r>
      <w:r w:rsidR="00691710" w:rsidRPr="00987F1F">
        <w:t xml:space="preserve">Considering </w:t>
      </w:r>
      <w:r w:rsidR="00987F1F" w:rsidRPr="00987F1F">
        <w:t xml:space="preserve">that </w:t>
      </w:r>
      <w:r w:rsidR="00691710" w:rsidRPr="00987F1F">
        <w:t xml:space="preserve">the </w:t>
      </w:r>
      <w:r w:rsidR="00987F1F" w:rsidRPr="00987F1F">
        <w:t>scope</w:t>
      </w:r>
      <w:r w:rsidR="00987F1F">
        <w:t xml:space="preserve"> of the </w:t>
      </w:r>
      <w:r>
        <w:t>work item</w:t>
      </w:r>
      <w:r w:rsidR="00987F1F">
        <w:t xml:space="preserve"> thus is very large</w:t>
      </w:r>
      <w:r>
        <w:t>, we should try</w:t>
      </w:r>
      <w:r w:rsidR="00987F1F">
        <w:t xml:space="preserve"> to avoid that we end up discussing several different solutions for objective 2 (NR-DC with selective activation).</w:t>
      </w:r>
    </w:p>
    <w:p w14:paraId="6E4F844B" w14:textId="7E1DF087" w:rsidR="00691710" w:rsidRDefault="00C67476" w:rsidP="00691710">
      <w:pPr>
        <w:pStyle w:val="Proposal"/>
      </w:pPr>
      <w:bookmarkStart w:id="1" w:name="_Toc110968990"/>
      <w:r>
        <w:lastRenderedPageBreak/>
        <w:t xml:space="preserve">Only a single solution should be defined </w:t>
      </w:r>
      <w:r w:rsidR="00C30C7C">
        <w:t xml:space="preserve">in Rel-18 </w:t>
      </w:r>
      <w:r>
        <w:t xml:space="preserve">for </w:t>
      </w:r>
      <w:r w:rsidR="00C30C7C">
        <w:t>objective 2 (</w:t>
      </w:r>
      <w:r>
        <w:t xml:space="preserve">the </w:t>
      </w:r>
      <w:r w:rsidR="00C30C7C">
        <w:rPr>
          <w:lang w:val="en-US"/>
        </w:rPr>
        <w:t>NR-DC with selective activation of the cell groups)</w:t>
      </w:r>
      <w:r w:rsidR="00691710">
        <w:t>.</w:t>
      </w:r>
      <w:bookmarkEnd w:id="1"/>
    </w:p>
    <w:p w14:paraId="381ABB02" w14:textId="77777777" w:rsidR="00691710" w:rsidRDefault="00691710" w:rsidP="00DB3F00">
      <w:pPr>
        <w:rPr>
          <w:highlight w:val="yellow"/>
        </w:rPr>
      </w:pPr>
    </w:p>
    <w:p w14:paraId="60B405AE" w14:textId="2CB717CA" w:rsidR="00761C9F" w:rsidRDefault="00691710" w:rsidP="00B93BF6">
      <w:pPr>
        <w:rPr>
          <w:bCs/>
        </w:rPr>
      </w:pPr>
      <w:r>
        <w:t>The o</w:t>
      </w:r>
      <w:r w:rsidR="00761C9F" w:rsidRPr="001A4729">
        <w:t xml:space="preserve">bjective 2 in the </w:t>
      </w:r>
      <w:r w:rsidR="00C87FD7" w:rsidRPr="001A4729">
        <w:t xml:space="preserve">WID </w:t>
      </w:r>
      <w:r w:rsidR="00C87FD7" w:rsidRPr="001A4729">
        <w:fldChar w:fldCharType="begin"/>
      </w:r>
      <w:r w:rsidR="00C87FD7" w:rsidRPr="001A4729">
        <w:instrText xml:space="preserve"> REF _Ref107489175 \r \h </w:instrText>
      </w:r>
      <w:r w:rsidR="001A4729">
        <w:instrText xml:space="preserve"> \* MERGEFORMAT </w:instrText>
      </w:r>
      <w:r w:rsidR="00C87FD7" w:rsidRPr="001A4729">
        <w:fldChar w:fldCharType="separate"/>
      </w:r>
      <w:r w:rsidR="00C87FD7" w:rsidRPr="001A4729">
        <w:t>[1]</w:t>
      </w:r>
      <w:r w:rsidR="00C87FD7" w:rsidRPr="001A4729">
        <w:fldChar w:fldCharType="end"/>
      </w:r>
      <w:r w:rsidR="00C87FD7" w:rsidRPr="001A4729">
        <w:t xml:space="preserve"> is to</w:t>
      </w:r>
      <w:r w:rsidR="00C87FD7">
        <w:t xml:space="preserve"> </w:t>
      </w:r>
      <w:r w:rsidR="00C87FD7" w:rsidRPr="00C87FD7">
        <w:t>specify mechanism and procedures of NR-DC with selective activation of the cell groups (at least for SCG) via L3 enhancements</w:t>
      </w:r>
      <w:r w:rsidR="005914E1">
        <w:t xml:space="preserve"> to allow subsequent cell group changes without the need to reconfigure/re-initiate CPC/CPA</w:t>
      </w:r>
      <w:r w:rsidR="00C87FD7">
        <w:t>.</w:t>
      </w:r>
      <w:r w:rsidR="005914E1">
        <w:t xml:space="preserve"> The corresponding justification in </w:t>
      </w:r>
      <w:r w:rsidR="005914E1">
        <w:fldChar w:fldCharType="begin"/>
      </w:r>
      <w:r w:rsidR="005914E1">
        <w:instrText xml:space="preserve"> REF _Ref107489175 \r \h </w:instrText>
      </w:r>
      <w:r w:rsidR="005914E1">
        <w:fldChar w:fldCharType="separate"/>
      </w:r>
      <w:r w:rsidR="005914E1">
        <w:t>[1]</w:t>
      </w:r>
      <w:r w:rsidR="005914E1">
        <w:fldChar w:fldCharType="end"/>
      </w:r>
      <w:r w:rsidR="005914E1">
        <w:t xml:space="preserve"> </w:t>
      </w:r>
      <w:r w:rsidR="001A4729">
        <w:t xml:space="preserve">clarifies that </w:t>
      </w:r>
      <w:r>
        <w:t>“</w:t>
      </w:r>
      <w:r w:rsidR="001A4729" w:rsidRPr="0072764B">
        <w:rPr>
          <w:bCs/>
        </w:rPr>
        <w:t>MR-DC with selective activation of cell gr</w:t>
      </w:r>
      <w:r w:rsidR="001A4729">
        <w:rPr>
          <w:bCs/>
        </w:rPr>
        <w:t>oups aims at enabling</w:t>
      </w:r>
      <w:r w:rsidR="001A4729">
        <w:rPr>
          <w:rFonts w:hint="eastAsia"/>
          <w:bCs/>
        </w:rPr>
        <w:t xml:space="preserve"> </w:t>
      </w:r>
      <w:r w:rsidR="001A4729" w:rsidRPr="0072764B">
        <w:rPr>
          <w:bCs/>
        </w:rPr>
        <w:t>subsequent CPC/CPA after SCG</w:t>
      </w:r>
      <w:r w:rsidR="001A4729">
        <w:rPr>
          <w:bCs/>
        </w:rPr>
        <w:t xml:space="preserve"> change</w:t>
      </w:r>
      <w:r w:rsidR="001A4729" w:rsidRPr="0072764B">
        <w:rPr>
          <w:bCs/>
        </w:rPr>
        <w:t>, without reconfiguration and re</w:t>
      </w:r>
      <w:r w:rsidR="001A4729">
        <w:rPr>
          <w:bCs/>
        </w:rPr>
        <w:t>-initialization on the CPC/CPA</w:t>
      </w:r>
      <w:r w:rsidR="001A4729">
        <w:rPr>
          <w:rFonts w:hint="eastAsia"/>
          <w:bCs/>
        </w:rPr>
        <w:t xml:space="preserve"> </w:t>
      </w:r>
      <w:r w:rsidR="001A4729" w:rsidRPr="0072764B">
        <w:rPr>
          <w:bCs/>
        </w:rPr>
        <w:t>preparation from the network</w:t>
      </w:r>
      <w:r>
        <w:rPr>
          <w:bCs/>
        </w:rPr>
        <w:t>”</w:t>
      </w:r>
      <w:r w:rsidR="001A4729">
        <w:rPr>
          <w:bCs/>
        </w:rPr>
        <w:t>.</w:t>
      </w:r>
      <w:r w:rsidR="00891F54">
        <w:rPr>
          <w:bCs/>
        </w:rPr>
        <w:t xml:space="preserve"> </w:t>
      </w:r>
      <w:r w:rsidR="001A4729">
        <w:rPr>
          <w:bCs/>
        </w:rPr>
        <w:t xml:space="preserve">The subsequent cell group changes </w:t>
      </w:r>
      <w:r w:rsidR="00A476DA">
        <w:rPr>
          <w:bCs/>
        </w:rPr>
        <w:t xml:space="preserve">should </w:t>
      </w:r>
      <w:r w:rsidR="001A4729">
        <w:rPr>
          <w:bCs/>
        </w:rPr>
        <w:t>thus consist of conditional changes (CPC</w:t>
      </w:r>
      <w:r w:rsidR="006320E0">
        <w:rPr>
          <w:bCs/>
        </w:rPr>
        <w:t>/CPA</w:t>
      </w:r>
      <w:r w:rsidR="001A4729">
        <w:rPr>
          <w:bCs/>
        </w:rPr>
        <w:t>).</w:t>
      </w:r>
    </w:p>
    <w:p w14:paraId="71C395A9" w14:textId="16902502" w:rsidR="00781BA6" w:rsidRDefault="00C30C7C" w:rsidP="00B93BF6">
      <w:pPr>
        <w:rPr>
          <w:bCs/>
        </w:rPr>
      </w:pPr>
      <w:proofErr w:type="gramStart"/>
      <w:r>
        <w:rPr>
          <w:bCs/>
        </w:rPr>
        <w:t>In order to</w:t>
      </w:r>
      <w:proofErr w:type="gramEnd"/>
      <w:r>
        <w:rPr>
          <w:bCs/>
        </w:rPr>
        <w:t xml:space="preserve"> </w:t>
      </w:r>
      <w:r w:rsidR="006320E0">
        <w:rPr>
          <w:bCs/>
        </w:rPr>
        <w:t>support subsequent CPC/CPA</w:t>
      </w:r>
      <w:r w:rsidR="00DB3F00">
        <w:rPr>
          <w:bCs/>
        </w:rPr>
        <w:t xml:space="preserve"> procedures</w:t>
      </w:r>
      <w:r w:rsidR="006320E0">
        <w:rPr>
          <w:bCs/>
        </w:rPr>
        <w:t xml:space="preserve">, without the corresponding reconfiguration/re-initialization from the network, the UE thus </w:t>
      </w:r>
      <w:r>
        <w:rPr>
          <w:bCs/>
        </w:rPr>
        <w:t xml:space="preserve">needs to </w:t>
      </w:r>
      <w:r w:rsidR="00781BA6">
        <w:rPr>
          <w:bCs/>
        </w:rPr>
        <w:t xml:space="preserve">already </w:t>
      </w:r>
      <w:r>
        <w:rPr>
          <w:bCs/>
        </w:rPr>
        <w:t xml:space="preserve">have </w:t>
      </w:r>
      <w:r w:rsidR="00DB3F00">
        <w:rPr>
          <w:bCs/>
        </w:rPr>
        <w:t xml:space="preserve">those </w:t>
      </w:r>
      <w:r w:rsidR="006320E0">
        <w:rPr>
          <w:bCs/>
        </w:rPr>
        <w:t>CPC/CPA configuration</w:t>
      </w:r>
      <w:r w:rsidR="00DB3F00">
        <w:rPr>
          <w:bCs/>
        </w:rPr>
        <w:t>s</w:t>
      </w:r>
      <w:r w:rsidR="006320E0">
        <w:rPr>
          <w:bCs/>
        </w:rPr>
        <w:t xml:space="preserve"> available </w:t>
      </w:r>
      <w:r w:rsidR="00DB3F00">
        <w:rPr>
          <w:bCs/>
        </w:rPr>
        <w:t>after performing other cell group changes.</w:t>
      </w:r>
      <w:r w:rsidR="00781BA6">
        <w:rPr>
          <w:bCs/>
        </w:rPr>
        <w:t xml:space="preserve"> The </w:t>
      </w:r>
      <w:r w:rsidR="00781BA6">
        <w:t xml:space="preserve">addressed scenarios should </w:t>
      </w:r>
      <w:r w:rsidR="00A476DA">
        <w:t xml:space="preserve">then </w:t>
      </w:r>
      <w:r w:rsidR="00781BA6">
        <w:t xml:space="preserve">include that the UE can be moving between multiple </w:t>
      </w:r>
      <w:proofErr w:type="spellStart"/>
      <w:r w:rsidR="00781BA6">
        <w:t>PSCells</w:t>
      </w:r>
      <w:proofErr w:type="spellEnd"/>
      <w:r w:rsidR="00781BA6">
        <w:t xml:space="preserve">, including back to a previous serving </w:t>
      </w:r>
      <w:proofErr w:type="spellStart"/>
      <w:r w:rsidR="00781BA6">
        <w:t>PSCell</w:t>
      </w:r>
      <w:proofErr w:type="spellEnd"/>
      <w:r w:rsidR="00781BA6">
        <w:t xml:space="preserve">, without the need for </w:t>
      </w:r>
      <w:r w:rsidR="00A476DA">
        <w:rPr>
          <w:bCs/>
        </w:rPr>
        <w:t xml:space="preserve">reconfiguration/re-initialization. </w:t>
      </w:r>
      <w:r w:rsidR="00A476DA">
        <w:t xml:space="preserve">The most straightforward mechanism is to enable this by keeping, </w:t>
      </w:r>
      <w:proofErr w:type="gramStart"/>
      <w:r w:rsidR="00A476DA">
        <w:t>i.e.</w:t>
      </w:r>
      <w:proofErr w:type="gramEnd"/>
      <w:r w:rsidR="00A476DA">
        <w:t xml:space="preserve"> not releasing, existing CPC/CPA configurations after performing a cell group change.</w:t>
      </w:r>
    </w:p>
    <w:p w14:paraId="2B603794" w14:textId="7C4EB6E9" w:rsidR="00761C9F" w:rsidRDefault="004A2D00" w:rsidP="00761C9F">
      <w:pPr>
        <w:pStyle w:val="Proposal"/>
      </w:pPr>
      <w:bookmarkStart w:id="2" w:name="_Toc110968991"/>
      <w:r>
        <w:t xml:space="preserve">The selective activation of cell groups </w:t>
      </w:r>
      <w:r w:rsidR="00E63AA5">
        <w:t xml:space="preserve">should </w:t>
      </w:r>
      <w:r>
        <w:t>correspond to support of subsequent conditional changes (CPC/CPA)</w:t>
      </w:r>
      <w:r w:rsidR="00700D8E">
        <w:t xml:space="preserve"> after a cell group change</w:t>
      </w:r>
      <w:r w:rsidR="00761C9F">
        <w:t>.</w:t>
      </w:r>
      <w:bookmarkEnd w:id="2"/>
    </w:p>
    <w:p w14:paraId="402BD6B6" w14:textId="72473C49" w:rsidR="004A2D00" w:rsidRPr="00C30C7C" w:rsidRDefault="00700D8E" w:rsidP="00761C9F">
      <w:pPr>
        <w:pStyle w:val="Proposal"/>
      </w:pPr>
      <w:bookmarkStart w:id="3" w:name="_Toc110968992"/>
      <w:r>
        <w:t>The subsequent conditional changes (CPC/CPA)</w:t>
      </w:r>
      <w:r w:rsidR="00A476DA">
        <w:t>,</w:t>
      </w:r>
      <w:r>
        <w:t xml:space="preserve"> </w:t>
      </w:r>
      <w:r w:rsidR="00A476DA" w:rsidRPr="0072764B">
        <w:t>without reconfiguration and re</w:t>
      </w:r>
      <w:r w:rsidR="00A476DA">
        <w:t xml:space="preserve">-initialization, </w:t>
      </w:r>
      <w:r w:rsidR="00C30C7C" w:rsidRPr="00C30C7C">
        <w:t xml:space="preserve">should be </w:t>
      </w:r>
      <w:r>
        <w:t xml:space="preserve">enabled by </w:t>
      </w:r>
      <w:r w:rsidR="00C30C7C" w:rsidRPr="00C30C7C">
        <w:t>keep</w:t>
      </w:r>
      <w:r>
        <w:t>ing</w:t>
      </w:r>
      <w:r w:rsidR="00C30C7C" w:rsidRPr="00C30C7C">
        <w:t xml:space="preserve">, </w:t>
      </w:r>
      <w:proofErr w:type="gramStart"/>
      <w:r w:rsidR="00C30C7C" w:rsidRPr="00C30C7C">
        <w:t>i.e.</w:t>
      </w:r>
      <w:proofErr w:type="gramEnd"/>
      <w:r w:rsidR="00C30C7C" w:rsidRPr="00C30C7C">
        <w:t xml:space="preserve"> not releas</w:t>
      </w:r>
      <w:r>
        <w:t>ing</w:t>
      </w:r>
      <w:r w:rsidR="00C30C7C" w:rsidRPr="00C30C7C">
        <w:t xml:space="preserve">, </w:t>
      </w:r>
      <w:r>
        <w:t xml:space="preserve">already existing </w:t>
      </w:r>
      <w:r w:rsidR="00C30C7C" w:rsidRPr="00C30C7C">
        <w:t>conditional reconfiguration</w:t>
      </w:r>
      <w:r>
        <w:t xml:space="preserve">s after </w:t>
      </w:r>
      <w:r w:rsidRPr="00C30C7C">
        <w:t xml:space="preserve">performing a </w:t>
      </w:r>
      <w:r w:rsidR="00A476DA">
        <w:t>cell group change</w:t>
      </w:r>
      <w:r w:rsidR="00C30C7C" w:rsidRPr="00C30C7C">
        <w:t>.</w:t>
      </w:r>
      <w:bookmarkEnd w:id="3"/>
    </w:p>
    <w:p w14:paraId="22AD51F6" w14:textId="27814387" w:rsidR="00DB3F00" w:rsidRDefault="00DB3F00" w:rsidP="00B93BF6"/>
    <w:p w14:paraId="25085076" w14:textId="5A80F6C6" w:rsidR="00E63AA5" w:rsidRPr="00374562" w:rsidRDefault="00374562" w:rsidP="00374562">
      <w:pPr>
        <w:pStyle w:val="CommentText"/>
      </w:pPr>
      <w:r w:rsidRPr="00374562">
        <w:t>O</w:t>
      </w:r>
      <w:r w:rsidR="00E63AA5" w:rsidRPr="00374562">
        <w:t xml:space="preserve">bjective </w:t>
      </w:r>
      <w:r w:rsidRPr="00374562">
        <w:t xml:space="preserve">2 is described as </w:t>
      </w:r>
      <w:r w:rsidR="00781BA6">
        <w:t xml:space="preserve">applicable for </w:t>
      </w:r>
      <w:r w:rsidR="00E63AA5" w:rsidRPr="00374562">
        <w:t xml:space="preserve">“at least for SCG”. A </w:t>
      </w:r>
      <w:r w:rsidRPr="00374562">
        <w:t xml:space="preserve">related </w:t>
      </w:r>
      <w:r w:rsidR="00E63AA5" w:rsidRPr="00374562">
        <w:t xml:space="preserve">question is then whether also corresponding mechanisms for </w:t>
      </w:r>
      <w:r w:rsidR="00781BA6">
        <w:t xml:space="preserve">the </w:t>
      </w:r>
      <w:r w:rsidR="00E63AA5" w:rsidRPr="00374562">
        <w:t>MCG should be considered in the Rel-18 work.</w:t>
      </w:r>
      <w:r w:rsidRPr="00374562">
        <w:t xml:space="preserve"> </w:t>
      </w:r>
      <w:r w:rsidR="00E63AA5" w:rsidRPr="00374562">
        <w:t xml:space="preserve">Considering the large scope in the work item </w:t>
      </w:r>
      <w:r w:rsidRPr="00374562">
        <w:t xml:space="preserve">and </w:t>
      </w:r>
      <w:r w:rsidR="00E63AA5" w:rsidRPr="00374562">
        <w:t xml:space="preserve">that these enhancements are targeting FR2 and that it can be expected that MCG is typically on FR1, we think that </w:t>
      </w:r>
      <w:r w:rsidRPr="00374562">
        <w:t xml:space="preserve">only the SCG should be targeted in </w:t>
      </w:r>
      <w:r w:rsidR="00E63AA5" w:rsidRPr="00374562">
        <w:t>the work on objective 2 in Rel-18 (NR-DC selective activation)</w:t>
      </w:r>
      <w:r w:rsidRPr="00374562">
        <w:t>.</w:t>
      </w:r>
      <w:r w:rsidR="00E63AA5" w:rsidRPr="00374562">
        <w:t xml:space="preserve"> This means that </w:t>
      </w:r>
      <w:r w:rsidRPr="00374562">
        <w:t xml:space="preserve">the work in Rel-18 should only consider keeping CPC or CPA configurations, </w:t>
      </w:r>
      <w:proofErr w:type="gramStart"/>
      <w:r w:rsidRPr="00374562">
        <w:t>i.e.</w:t>
      </w:r>
      <w:proofErr w:type="gramEnd"/>
      <w:r w:rsidRPr="00374562">
        <w:t xml:space="preserve"> not CHO configurations, at execution of other mobility procedures.</w:t>
      </w:r>
    </w:p>
    <w:p w14:paraId="20C65B4B" w14:textId="54C482AF" w:rsidR="00261C7F" w:rsidRDefault="00261C7F" w:rsidP="00261C7F">
      <w:pPr>
        <w:pStyle w:val="Proposal"/>
      </w:pPr>
      <w:bookmarkStart w:id="4" w:name="_Toc110968993"/>
      <w:r w:rsidRPr="0045360A">
        <w:t xml:space="preserve">Only </w:t>
      </w:r>
      <w:r w:rsidR="006848C2" w:rsidRPr="0045360A">
        <w:t>selective activation</w:t>
      </w:r>
      <w:r w:rsidR="006848C2">
        <w:t xml:space="preserve"> of SCGs should be targeted in the Rel-18 work</w:t>
      </w:r>
      <w:r w:rsidR="00761C9F">
        <w:t xml:space="preserve"> for objective 2</w:t>
      </w:r>
      <w:r w:rsidR="00C87FD7">
        <w:t xml:space="preserve">, </w:t>
      </w:r>
      <w:proofErr w:type="gramStart"/>
      <w:r w:rsidR="00C87FD7">
        <w:t>i.e.</w:t>
      </w:r>
      <w:proofErr w:type="gramEnd"/>
      <w:r w:rsidR="00C87FD7">
        <w:t xml:space="preserve"> not for MCGs</w:t>
      </w:r>
      <w:r w:rsidRPr="00A04F49">
        <w:t>.</w:t>
      </w:r>
      <w:r w:rsidR="009A7003">
        <w:t xml:space="preserve"> This means that </w:t>
      </w:r>
      <w:r w:rsidR="00761C9F">
        <w:t xml:space="preserve">the work </w:t>
      </w:r>
      <w:r w:rsidR="00C30C7C">
        <w:t xml:space="preserve">in Rel-18 </w:t>
      </w:r>
      <w:r w:rsidR="00761C9F">
        <w:t xml:space="preserve">should </w:t>
      </w:r>
      <w:r w:rsidR="009A7003">
        <w:t xml:space="preserve">only </w:t>
      </w:r>
      <w:r w:rsidR="00761C9F">
        <w:t xml:space="preserve">consider keeping </w:t>
      </w:r>
      <w:r w:rsidR="009A7003">
        <w:t>CP</w:t>
      </w:r>
      <w:r w:rsidR="00C1083E">
        <w:t>C</w:t>
      </w:r>
      <w:r w:rsidR="009A7003">
        <w:t xml:space="preserve"> or </w:t>
      </w:r>
      <w:r w:rsidR="00C1083E">
        <w:t xml:space="preserve">CPA </w:t>
      </w:r>
      <w:r w:rsidR="009A7003">
        <w:t>configurations</w:t>
      </w:r>
      <w:r w:rsidR="008E73A4">
        <w:t xml:space="preserve">, </w:t>
      </w:r>
      <w:proofErr w:type="gramStart"/>
      <w:r w:rsidR="008E73A4">
        <w:t>i.e.</w:t>
      </w:r>
      <w:proofErr w:type="gramEnd"/>
      <w:r w:rsidR="008E73A4">
        <w:t xml:space="preserve"> not CHO configurations</w:t>
      </w:r>
      <w:r w:rsidR="00374562">
        <w:t>, at execution of other mobility procedures</w:t>
      </w:r>
      <w:r w:rsidR="009A7003">
        <w:t>.</w:t>
      </w:r>
      <w:bookmarkEnd w:id="4"/>
    </w:p>
    <w:p w14:paraId="4C6CC564" w14:textId="6F6FD1AE" w:rsidR="00934AF5" w:rsidRDefault="00934AF5" w:rsidP="00B93BF6">
      <w:pPr>
        <w:rPr>
          <w:highlight w:val="yellow"/>
        </w:rPr>
      </w:pPr>
    </w:p>
    <w:p w14:paraId="0794EC14" w14:textId="10DF6619" w:rsidR="0045360A" w:rsidRPr="008C387A" w:rsidRDefault="00423A33" w:rsidP="00CE7EEE">
      <w:pPr>
        <w:rPr>
          <w:highlight w:val="yellow"/>
        </w:rPr>
      </w:pPr>
      <w:r w:rsidRPr="008C387A">
        <w:t xml:space="preserve">Legacy </w:t>
      </w:r>
      <w:proofErr w:type="spellStart"/>
      <w:r w:rsidRPr="008C387A">
        <w:t>PSCell</w:t>
      </w:r>
      <w:proofErr w:type="spellEnd"/>
      <w:r w:rsidRPr="008C387A">
        <w:t xml:space="preserve"> change and Conditional </w:t>
      </w:r>
      <w:proofErr w:type="spellStart"/>
      <w:r w:rsidRPr="008C387A">
        <w:t>PSCell</w:t>
      </w:r>
      <w:proofErr w:type="spellEnd"/>
      <w:r w:rsidRPr="008C387A">
        <w:t xml:space="preserve"> Change (CPC) </w:t>
      </w:r>
      <w:r w:rsidR="00781BA6">
        <w:t xml:space="preserve">are </w:t>
      </w:r>
      <w:r w:rsidRPr="008C387A">
        <w:t xml:space="preserve">supported together, </w:t>
      </w:r>
      <w:proofErr w:type="gramStart"/>
      <w:r w:rsidRPr="008C387A">
        <w:t>e.g.</w:t>
      </w:r>
      <w:proofErr w:type="gramEnd"/>
      <w:r w:rsidRPr="008C387A">
        <w:t xml:space="preserve"> so that the UE can be configured with CPC for some candidate target </w:t>
      </w:r>
      <w:proofErr w:type="spellStart"/>
      <w:r w:rsidRPr="008C387A">
        <w:t>PSCells</w:t>
      </w:r>
      <w:proofErr w:type="spellEnd"/>
      <w:r w:rsidRPr="008C387A">
        <w:t xml:space="preserve"> but </w:t>
      </w:r>
      <w:r w:rsidR="00E63AA5">
        <w:t xml:space="preserve">can anyway </w:t>
      </w:r>
      <w:r w:rsidRPr="008C387A">
        <w:t xml:space="preserve">receive a configuration for a legacy </w:t>
      </w:r>
      <w:proofErr w:type="spellStart"/>
      <w:r w:rsidRPr="008C387A">
        <w:t>PSCell</w:t>
      </w:r>
      <w:proofErr w:type="spellEnd"/>
      <w:r w:rsidRPr="008C387A">
        <w:t xml:space="preserve"> change</w:t>
      </w:r>
      <w:r w:rsidR="00311FBC">
        <w:t xml:space="preserve">. The legacy </w:t>
      </w:r>
      <w:proofErr w:type="spellStart"/>
      <w:r w:rsidR="00311FBC">
        <w:t>PSCell</w:t>
      </w:r>
      <w:proofErr w:type="spellEnd"/>
      <w:r w:rsidR="00311FBC">
        <w:t xml:space="preserve"> change could then be </w:t>
      </w:r>
      <w:r w:rsidR="008C387A" w:rsidRPr="008C387A">
        <w:t>to</w:t>
      </w:r>
      <w:r w:rsidRPr="008C387A">
        <w:t xml:space="preserve"> one of th</w:t>
      </w:r>
      <w:r w:rsidR="00311FBC">
        <w:t>e</w:t>
      </w:r>
      <w:r w:rsidRPr="008C387A">
        <w:t xml:space="preserve"> candidate </w:t>
      </w:r>
      <w:proofErr w:type="gramStart"/>
      <w:r w:rsidRPr="008C387A">
        <w:t>target</w:t>
      </w:r>
      <w:proofErr w:type="gramEnd"/>
      <w:r w:rsidRPr="008C387A">
        <w:t xml:space="preserve"> </w:t>
      </w:r>
      <w:proofErr w:type="spellStart"/>
      <w:r w:rsidRPr="008C387A">
        <w:t>PSCells</w:t>
      </w:r>
      <w:proofErr w:type="spellEnd"/>
      <w:r w:rsidRPr="008C387A">
        <w:t xml:space="preserve"> or </w:t>
      </w:r>
      <w:r w:rsidR="00E63AA5">
        <w:t xml:space="preserve">to </w:t>
      </w:r>
      <w:r w:rsidRPr="008C387A">
        <w:t xml:space="preserve">another target </w:t>
      </w:r>
      <w:proofErr w:type="spellStart"/>
      <w:r w:rsidRPr="008C387A">
        <w:t>PSCell</w:t>
      </w:r>
      <w:proofErr w:type="spellEnd"/>
      <w:r w:rsidR="00311FBC">
        <w:t xml:space="preserve"> and is </w:t>
      </w:r>
      <w:r w:rsidRPr="008C387A">
        <w:t>then executed directly</w:t>
      </w:r>
      <w:r w:rsidR="008C387A" w:rsidRPr="008C387A">
        <w:t xml:space="preserve">. </w:t>
      </w:r>
      <w:r w:rsidR="0045360A" w:rsidRPr="008C387A">
        <w:t>The possibility to keep a conditional reconfiguration for the SCG (</w:t>
      </w:r>
      <w:proofErr w:type="gramStart"/>
      <w:r w:rsidR="0045360A" w:rsidRPr="008C387A">
        <w:t>e.g.</w:t>
      </w:r>
      <w:proofErr w:type="gramEnd"/>
      <w:r w:rsidR="0045360A" w:rsidRPr="008C387A">
        <w:t xml:space="preserve"> CPC) should therefore be supported </w:t>
      </w:r>
      <w:r w:rsidR="00DA2C77" w:rsidRPr="008C387A">
        <w:t xml:space="preserve">both </w:t>
      </w:r>
      <w:r w:rsidR="008C387A">
        <w:t xml:space="preserve">for the case where a </w:t>
      </w:r>
      <w:r w:rsidR="00DA2C77" w:rsidRPr="00DA2C77">
        <w:t>UE executes a</w:t>
      </w:r>
      <w:r w:rsidR="00311FBC">
        <w:t>nother</w:t>
      </w:r>
      <w:r w:rsidR="00DA2C77" w:rsidRPr="00DA2C77">
        <w:t xml:space="preserve"> CPC configuration and when it executes a legacy </w:t>
      </w:r>
      <w:proofErr w:type="spellStart"/>
      <w:r w:rsidR="00DA2C77" w:rsidRPr="00DA2C77">
        <w:t>PSCell</w:t>
      </w:r>
      <w:proofErr w:type="spellEnd"/>
      <w:r w:rsidR="00DA2C77" w:rsidRPr="00DA2C77">
        <w:t xml:space="preserve"> change.</w:t>
      </w:r>
    </w:p>
    <w:p w14:paraId="5260EC21" w14:textId="076ED82D" w:rsidR="00DA2C77" w:rsidRPr="00DA2C77" w:rsidRDefault="00DA2C77" w:rsidP="00CE7EEE">
      <w:r w:rsidRPr="00DA2C77">
        <w:t xml:space="preserve">Whether it should be possible to keep a conditional reconfiguration for the SCG (CPC or CPA) </w:t>
      </w:r>
      <w:r w:rsidR="0089138A">
        <w:t xml:space="preserve">in case </w:t>
      </w:r>
      <w:r w:rsidRPr="00DA2C77">
        <w:t>there is a change of MCG/</w:t>
      </w:r>
      <w:proofErr w:type="spellStart"/>
      <w:r w:rsidRPr="00DA2C77">
        <w:t>PCell</w:t>
      </w:r>
      <w:proofErr w:type="spellEnd"/>
      <w:r w:rsidRPr="00DA2C77">
        <w:t xml:space="preserve"> should be discussed further</w:t>
      </w:r>
      <w:r w:rsidR="0089138A">
        <w:t xml:space="preserve"> and can be left as TBD for now</w:t>
      </w:r>
      <w:r w:rsidRPr="00DA2C77">
        <w:t>.</w:t>
      </w:r>
    </w:p>
    <w:p w14:paraId="5A82768D" w14:textId="46260F83" w:rsidR="00CE7EEE" w:rsidRDefault="00CE7EEE" w:rsidP="00CE7EEE">
      <w:pPr>
        <w:pStyle w:val="Proposal"/>
      </w:pPr>
      <w:bookmarkStart w:id="5" w:name="_Toc110968994"/>
      <w:r>
        <w:t xml:space="preserve">The </w:t>
      </w:r>
      <w:r w:rsidR="0045360A">
        <w:t xml:space="preserve">mobility procedures </w:t>
      </w:r>
      <w:r>
        <w:t xml:space="preserve">where it should be possible to keep a </w:t>
      </w:r>
      <w:r w:rsidR="0045360A">
        <w:t>conditional reconfiguration for the SCG (</w:t>
      </w:r>
      <w:proofErr w:type="gramStart"/>
      <w:r w:rsidR="0045360A">
        <w:t>e.g.</w:t>
      </w:r>
      <w:proofErr w:type="gramEnd"/>
      <w:r w:rsidR="0045360A">
        <w:t xml:space="preserve"> </w:t>
      </w:r>
      <w:r>
        <w:t>CPC</w:t>
      </w:r>
      <w:r w:rsidR="0045360A">
        <w:t>)</w:t>
      </w:r>
      <w:r>
        <w:t xml:space="preserve"> should correspond to any type of </w:t>
      </w:r>
      <w:r w:rsidR="0045360A">
        <w:t xml:space="preserve">SCG </w:t>
      </w:r>
      <w:r>
        <w:t xml:space="preserve">mobility procedure, </w:t>
      </w:r>
      <w:r w:rsidR="0045360A">
        <w:t>i.e</w:t>
      </w:r>
      <w:r>
        <w:t xml:space="preserve">. both CPC execution and normal </w:t>
      </w:r>
      <w:proofErr w:type="spellStart"/>
      <w:r>
        <w:t>PSCell</w:t>
      </w:r>
      <w:proofErr w:type="spellEnd"/>
      <w:r>
        <w:t xml:space="preserve"> changes</w:t>
      </w:r>
      <w:r w:rsidR="0045360A">
        <w:t xml:space="preserve"> should be applicable</w:t>
      </w:r>
      <w:r>
        <w:t xml:space="preserve">. </w:t>
      </w:r>
      <w:r w:rsidR="0089138A">
        <w:t>TBD</w:t>
      </w:r>
      <w:r>
        <w:t xml:space="preserve"> whether it is applicable also </w:t>
      </w:r>
      <w:r w:rsidR="0089138A">
        <w:t>in case there is a</w:t>
      </w:r>
      <w:r>
        <w:t xml:space="preserve"> change of MCG, </w:t>
      </w:r>
      <w:proofErr w:type="gramStart"/>
      <w:r>
        <w:t>i.e.</w:t>
      </w:r>
      <w:proofErr w:type="gramEnd"/>
      <w:r>
        <w:t xml:space="preserve"> at </w:t>
      </w:r>
      <w:r w:rsidR="0089138A">
        <w:t xml:space="preserve">a </w:t>
      </w:r>
      <w:r>
        <w:t xml:space="preserve">CHO execution </w:t>
      </w:r>
      <w:r w:rsidR="0089138A">
        <w:t>or</w:t>
      </w:r>
      <w:r>
        <w:t xml:space="preserve"> </w:t>
      </w:r>
      <w:r w:rsidR="0089138A">
        <w:t xml:space="preserve">a </w:t>
      </w:r>
      <w:r>
        <w:t>normal HO.</w:t>
      </w:r>
      <w:bookmarkEnd w:id="5"/>
    </w:p>
    <w:p w14:paraId="34D63AA0" w14:textId="77777777" w:rsidR="00CE7EEE" w:rsidRDefault="00CE7EEE" w:rsidP="00B93BF6">
      <w:pPr>
        <w:rPr>
          <w:highlight w:val="yellow"/>
        </w:rPr>
      </w:pPr>
    </w:p>
    <w:p w14:paraId="5A779D21" w14:textId="563BCDFE" w:rsidR="00F52594" w:rsidRDefault="00F52594" w:rsidP="00F52594">
      <w:pPr>
        <w:pStyle w:val="Heading2"/>
      </w:pPr>
      <w:r>
        <w:t>2.</w:t>
      </w:r>
      <w:r w:rsidR="00735AE4">
        <w:t>3</w:t>
      </w:r>
      <w:r>
        <w:tab/>
        <w:t>CPC configuration within CPA/CPC</w:t>
      </w:r>
    </w:p>
    <w:p w14:paraId="76FD3F2C" w14:textId="5C061144" w:rsidR="00DA2C77" w:rsidRPr="00DA2C77" w:rsidRDefault="00DA2C77" w:rsidP="00DA2C77">
      <w:r w:rsidRPr="00DA2C77">
        <w:t xml:space="preserve">The objective 4 in the WID </w:t>
      </w:r>
      <w:r w:rsidRPr="00DA2C77">
        <w:fldChar w:fldCharType="begin"/>
      </w:r>
      <w:r w:rsidRPr="00DA2C77">
        <w:instrText xml:space="preserve"> REF _Ref107489175 \r \h  \* MERGEFORMAT </w:instrText>
      </w:r>
      <w:r w:rsidRPr="00DA2C77">
        <w:fldChar w:fldCharType="separate"/>
      </w:r>
      <w:r w:rsidRPr="00DA2C77">
        <w:t>[1]</w:t>
      </w:r>
      <w:r w:rsidRPr="00DA2C77">
        <w:fldChar w:fldCharType="end"/>
      </w:r>
      <w:r w:rsidRPr="00DA2C77">
        <w:t xml:space="preserve"> is to </w:t>
      </w:r>
      <w:r w:rsidRPr="00DA2C77">
        <w:rPr>
          <w:bCs/>
          <w:lang w:val="en-US"/>
        </w:rPr>
        <w:t xml:space="preserve">specify CHO including target MCG and candidate SCGs for CPC/CPA in NR-DC. It can thus be assumed </w:t>
      </w:r>
      <w:r w:rsidR="00DB3F00" w:rsidRPr="00DA2C77">
        <w:t xml:space="preserve">that there </w:t>
      </w:r>
      <w:r w:rsidRPr="00DA2C77">
        <w:t xml:space="preserve">then </w:t>
      </w:r>
      <w:r w:rsidR="00DB3F00" w:rsidRPr="00DA2C77">
        <w:t xml:space="preserve">will be </w:t>
      </w:r>
      <w:r w:rsidRPr="00DA2C77">
        <w:t xml:space="preserve">support for a </w:t>
      </w:r>
      <w:r w:rsidR="00DB3F00" w:rsidRPr="00DA2C77">
        <w:t>CHO configuration that includes CPA/CPC.</w:t>
      </w:r>
    </w:p>
    <w:p w14:paraId="6FD14507" w14:textId="6348815E" w:rsidR="00DA2C77" w:rsidRPr="00DA2C77" w:rsidRDefault="00DA2C77" w:rsidP="00DA2C77">
      <w:r w:rsidRPr="00DA2C77">
        <w:lastRenderedPageBreak/>
        <w:t xml:space="preserve">Today it is not allowed to include the field </w:t>
      </w:r>
      <w:proofErr w:type="spellStart"/>
      <w:r w:rsidRPr="00DA2C77">
        <w:rPr>
          <w:i/>
          <w:iCs/>
        </w:rPr>
        <w:t>conditionalReconfiguration</w:t>
      </w:r>
      <w:proofErr w:type="spellEnd"/>
      <w:r w:rsidRPr="00DA2C77">
        <w:t xml:space="preserve"> in the </w:t>
      </w:r>
      <w:proofErr w:type="spellStart"/>
      <w:r w:rsidRPr="00DA2C77">
        <w:rPr>
          <w:i/>
          <w:iCs/>
        </w:rPr>
        <w:t>condRRCReconfig</w:t>
      </w:r>
      <w:proofErr w:type="spellEnd"/>
      <w:r w:rsidRPr="00DA2C77">
        <w:t xml:space="preserve">, </w:t>
      </w:r>
      <w:proofErr w:type="gramStart"/>
      <w:r w:rsidRPr="00DA2C77">
        <w:t>i.e.</w:t>
      </w:r>
      <w:proofErr w:type="gramEnd"/>
      <w:r w:rsidRPr="00DA2C77">
        <w:t xml:space="preserve"> a new conditional reconfiguration within the conditional reconfiguration.</w:t>
      </w:r>
      <w:r>
        <w:t xml:space="preserve"> This can be seen in the field description </w:t>
      </w:r>
      <w:r w:rsidR="000501A7">
        <w:t xml:space="preserve">for </w:t>
      </w:r>
      <w:proofErr w:type="spellStart"/>
      <w:r w:rsidR="000501A7" w:rsidRPr="00DA2C77">
        <w:rPr>
          <w:i/>
          <w:iCs/>
        </w:rPr>
        <w:t>condRRCReconfig</w:t>
      </w:r>
      <w:proofErr w:type="spellEnd"/>
      <w:r w:rsidR="000501A7">
        <w:t xml:space="preserve"> </w:t>
      </w:r>
      <w:r>
        <w:t>in 38.331:</w:t>
      </w:r>
    </w:p>
    <w:p w14:paraId="0D520CC9" w14:textId="77777777" w:rsidR="00423A33" w:rsidRPr="00423A33" w:rsidRDefault="00423A33" w:rsidP="00423A33">
      <w:pPr>
        <w:keepNext/>
        <w:keepLines/>
        <w:spacing w:after="0"/>
        <w:ind w:left="567"/>
        <w:rPr>
          <w:rFonts w:ascii="Arial" w:hAnsi="Arial"/>
          <w:sz w:val="18"/>
          <w:lang w:eastAsia="sv-SE"/>
        </w:rPr>
      </w:pPr>
      <w:r w:rsidRPr="00423A33">
        <w:rPr>
          <w:rFonts w:ascii="Arial" w:hAnsi="Arial"/>
          <w:b/>
          <w:bCs/>
          <w:i/>
          <w:noProof/>
          <w:sz w:val="18"/>
          <w:lang w:eastAsia="en-GB"/>
        </w:rPr>
        <w:t>condRRCReconfig</w:t>
      </w:r>
    </w:p>
    <w:p w14:paraId="2C8B461E" w14:textId="2391655B" w:rsidR="00423A33" w:rsidRPr="00423A33" w:rsidRDefault="00423A33" w:rsidP="00423A33">
      <w:pPr>
        <w:ind w:left="567"/>
        <w:rPr>
          <w:highlight w:val="yellow"/>
        </w:rPr>
      </w:pPr>
      <w:r w:rsidRPr="00423A33">
        <w:rPr>
          <w:lang w:eastAsia="sv-SE"/>
        </w:rPr>
        <w:t xml:space="preserve">The </w:t>
      </w:r>
      <w:proofErr w:type="spellStart"/>
      <w:r w:rsidRPr="00423A33">
        <w:rPr>
          <w:i/>
          <w:lang w:eastAsia="sv-SE"/>
        </w:rPr>
        <w:t>RRCReconfiguration</w:t>
      </w:r>
      <w:proofErr w:type="spellEnd"/>
      <w:r w:rsidRPr="00423A33">
        <w:rPr>
          <w:lang w:eastAsia="sv-SE"/>
        </w:rPr>
        <w:t xml:space="preserve"> message to be applied when the condition(s) are fulfilled. </w:t>
      </w:r>
      <w:r w:rsidRPr="00423A33">
        <w:rPr>
          <w:highlight w:val="yellow"/>
        </w:rPr>
        <w:t xml:space="preserve">The </w:t>
      </w:r>
      <w:proofErr w:type="spellStart"/>
      <w:r w:rsidRPr="00423A33">
        <w:rPr>
          <w:i/>
          <w:highlight w:val="yellow"/>
        </w:rPr>
        <w:t>RRCReconfiguration</w:t>
      </w:r>
      <w:proofErr w:type="spellEnd"/>
      <w:r w:rsidRPr="00423A33">
        <w:rPr>
          <w:highlight w:val="yellow"/>
        </w:rPr>
        <w:t xml:space="preserve"> message contained in </w:t>
      </w:r>
      <w:proofErr w:type="spellStart"/>
      <w:r w:rsidRPr="00423A33">
        <w:rPr>
          <w:i/>
          <w:iCs/>
          <w:highlight w:val="yellow"/>
        </w:rPr>
        <w:t>condRRCReconfig</w:t>
      </w:r>
      <w:proofErr w:type="spellEnd"/>
      <w:r w:rsidRPr="00423A33">
        <w:rPr>
          <w:highlight w:val="yellow"/>
        </w:rPr>
        <w:t xml:space="preserve"> cannot contain the field </w:t>
      </w:r>
      <w:proofErr w:type="spellStart"/>
      <w:r w:rsidRPr="00423A33">
        <w:rPr>
          <w:i/>
          <w:iCs/>
          <w:highlight w:val="yellow"/>
        </w:rPr>
        <w:t>conditionalReconfiguration</w:t>
      </w:r>
      <w:proofErr w:type="spellEnd"/>
      <w:r w:rsidRPr="00423A33">
        <w:rPr>
          <w:szCs w:val="18"/>
        </w:rPr>
        <w:t xml:space="preserve"> or the field</w:t>
      </w:r>
      <w:r w:rsidRPr="00423A33">
        <w:rPr>
          <w:i/>
          <w:iCs/>
          <w:szCs w:val="18"/>
        </w:rPr>
        <w:t xml:space="preserve"> daps-Config</w:t>
      </w:r>
      <w:r w:rsidRPr="00423A33">
        <w:t>.</w:t>
      </w:r>
      <w:r w:rsidRPr="00423A33">
        <w:rPr>
          <w:iCs/>
        </w:rPr>
        <w:t xml:space="preserve"> For CPA and for CPC, the </w:t>
      </w:r>
      <w:proofErr w:type="spellStart"/>
      <w:r w:rsidRPr="00423A33">
        <w:rPr>
          <w:i/>
          <w:iCs/>
        </w:rPr>
        <w:t>RRCReconfiguration</w:t>
      </w:r>
      <w:proofErr w:type="spellEnd"/>
      <w:r w:rsidRPr="00423A33">
        <w:rPr>
          <w:iCs/>
        </w:rPr>
        <w:t xml:space="preserve"> message contained in </w:t>
      </w:r>
      <w:proofErr w:type="spellStart"/>
      <w:r w:rsidRPr="00423A33">
        <w:rPr>
          <w:i/>
          <w:iCs/>
        </w:rPr>
        <w:t>condRRCReconfig</w:t>
      </w:r>
      <w:proofErr w:type="spellEnd"/>
      <w:r w:rsidRPr="00423A33">
        <w:rPr>
          <w:iCs/>
        </w:rPr>
        <w:t xml:space="preserve"> cannot contain the field </w:t>
      </w:r>
      <w:proofErr w:type="spellStart"/>
      <w:r w:rsidRPr="00423A33">
        <w:rPr>
          <w:i/>
          <w:iCs/>
        </w:rPr>
        <w:t>scg</w:t>
      </w:r>
      <w:proofErr w:type="spellEnd"/>
      <w:r w:rsidRPr="00423A33">
        <w:rPr>
          <w:i/>
          <w:iCs/>
        </w:rPr>
        <w:t>-State</w:t>
      </w:r>
      <w:r w:rsidRPr="00423A33">
        <w:rPr>
          <w:iCs/>
        </w:rPr>
        <w:t>.</w:t>
      </w:r>
    </w:p>
    <w:p w14:paraId="7150A3CD" w14:textId="33F080D5" w:rsidR="00F018E8" w:rsidRDefault="00F018E8" w:rsidP="00DA2C77">
      <w:r>
        <w:t>It is also described in 37.340 (clause 10.6) that CPC configurations cannot be included in conditional reconfigurations:</w:t>
      </w:r>
    </w:p>
    <w:p w14:paraId="446904EF" w14:textId="77777777" w:rsidR="00F018E8" w:rsidRPr="00F018E8" w:rsidRDefault="00F018E8" w:rsidP="00F018E8">
      <w:pPr>
        <w:ind w:left="567"/>
      </w:pPr>
      <w:r w:rsidRPr="00F018E8">
        <w:rPr>
          <w:highlight w:val="yellow"/>
        </w:rPr>
        <w:t>CPC configuration</w:t>
      </w:r>
      <w:r w:rsidRPr="00F018E8">
        <w:t xml:space="preserve"> in HO command, </w:t>
      </w:r>
      <w:r w:rsidRPr="00F018E8">
        <w:rPr>
          <w:rFonts w:eastAsia="SimSun"/>
          <w:lang w:eastAsia="zh-CN"/>
        </w:rPr>
        <w:t xml:space="preserve">in </w:t>
      </w:r>
      <w:proofErr w:type="spellStart"/>
      <w:r w:rsidRPr="00F018E8">
        <w:t>PSCell</w:t>
      </w:r>
      <w:proofErr w:type="spellEnd"/>
      <w:r w:rsidRPr="00F018E8">
        <w:t xml:space="preserve"> </w:t>
      </w:r>
      <w:r w:rsidRPr="00F018E8">
        <w:rPr>
          <w:rFonts w:eastAsia="SimSun"/>
          <w:lang w:eastAsia="zh-CN"/>
        </w:rPr>
        <w:t>addition/</w:t>
      </w:r>
      <w:r w:rsidRPr="00F018E8">
        <w:t xml:space="preserve">change command or </w:t>
      </w:r>
      <w:r w:rsidRPr="00F018E8">
        <w:rPr>
          <w:rFonts w:eastAsia="SimSun"/>
          <w:highlight w:val="yellow"/>
          <w:lang w:eastAsia="zh-CN"/>
        </w:rPr>
        <w:t>in conditional</w:t>
      </w:r>
      <w:r w:rsidRPr="00F018E8">
        <w:rPr>
          <w:highlight w:val="yellow"/>
        </w:rPr>
        <w:t xml:space="preserve"> configuration </w:t>
      </w:r>
      <w:r w:rsidRPr="00F018E8">
        <w:rPr>
          <w:rFonts w:eastAsia="SimSun"/>
          <w:highlight w:val="yellow"/>
          <w:lang w:eastAsia="zh-CN"/>
        </w:rPr>
        <w:t>(</w:t>
      </w:r>
      <w:proofErr w:type="spellStart"/>
      <w:r w:rsidRPr="00F018E8">
        <w:rPr>
          <w:rFonts w:eastAsia="SimSun"/>
          <w:highlight w:val="yellow"/>
          <w:lang w:eastAsia="zh-CN"/>
        </w:rPr>
        <w:t>i.e</w:t>
      </w:r>
      <w:proofErr w:type="spellEnd"/>
      <w:r w:rsidRPr="00F018E8">
        <w:rPr>
          <w:rFonts w:eastAsia="SimSun"/>
          <w:highlight w:val="yellow"/>
          <w:lang w:eastAsia="zh-CN"/>
        </w:rPr>
        <w:t xml:space="preserve"> CPA, CPC or CHO configuration) </w:t>
      </w:r>
      <w:r w:rsidRPr="00F018E8">
        <w:rPr>
          <w:highlight w:val="yellow"/>
        </w:rPr>
        <w:t>is not supported</w:t>
      </w:r>
      <w:r w:rsidRPr="00F018E8">
        <w:t>.</w:t>
      </w:r>
    </w:p>
    <w:p w14:paraId="1318989B" w14:textId="11998F2F" w:rsidR="00DA2C77" w:rsidRPr="00A16103" w:rsidRDefault="00DA2C77" w:rsidP="00DA2C77">
      <w:r w:rsidRPr="00A16103">
        <w:t>By adding support for CPC/CPA configurations within a CHO configuration, the above restriction</w:t>
      </w:r>
      <w:r w:rsidR="00F018E8">
        <w:t>s</w:t>
      </w:r>
      <w:r w:rsidRPr="00A16103">
        <w:t xml:space="preserve"> </w:t>
      </w:r>
      <w:r w:rsidR="00F018E8">
        <w:t xml:space="preserve">regarding inclusion of a CPC configuration within a conditional reconfiguration </w:t>
      </w:r>
      <w:r w:rsidRPr="00A16103">
        <w:t xml:space="preserve">would be removed. The corresponding support for CPC configuration within a CPC or a CPA configuration would then also be possible unless </w:t>
      </w:r>
      <w:r w:rsidR="00A16103" w:rsidRPr="00A16103">
        <w:t>new, more specific, restrictions are to be introduced</w:t>
      </w:r>
      <w:r w:rsidR="00F018E8">
        <w:t xml:space="preserve"> in the specification</w:t>
      </w:r>
      <w:r w:rsidR="00A16103" w:rsidRPr="00A16103">
        <w:t xml:space="preserve">. We therefore think that </w:t>
      </w:r>
      <w:r w:rsidR="00F018E8">
        <w:t xml:space="preserve">if </w:t>
      </w:r>
      <w:r w:rsidR="00F018E8" w:rsidRPr="00A16103">
        <w:t>support for CPC/CPA within CHO is introduced</w:t>
      </w:r>
      <w:r w:rsidR="00F018E8">
        <w:t>,</w:t>
      </w:r>
      <w:r w:rsidR="00F018E8" w:rsidRPr="00A16103">
        <w:t xml:space="preserve"> </w:t>
      </w:r>
      <w:r w:rsidR="00A16103" w:rsidRPr="00A16103">
        <w:t xml:space="preserve">RAN2 should consider to </w:t>
      </w:r>
      <w:r w:rsidR="00F018E8">
        <w:t xml:space="preserve">also </w:t>
      </w:r>
      <w:r w:rsidR="00A16103" w:rsidRPr="00A16103">
        <w:t>support that CPC can be configured within a CPC/CPA configuration.</w:t>
      </w:r>
    </w:p>
    <w:p w14:paraId="74A9112D" w14:textId="455679B1" w:rsidR="00261C7F" w:rsidRPr="00CE0424" w:rsidRDefault="000657D9" w:rsidP="00261C7F">
      <w:pPr>
        <w:pStyle w:val="Observation"/>
      </w:pPr>
      <w:bookmarkStart w:id="6" w:name="_Toc110968996"/>
      <w:r>
        <w:t xml:space="preserve">In case </w:t>
      </w:r>
      <w:r w:rsidR="0049585B">
        <w:t>support for CPC or CPA within a CHO configuration</w:t>
      </w:r>
      <w:r w:rsidR="000501A7">
        <w:t xml:space="preserve"> </w:t>
      </w:r>
      <w:r>
        <w:t xml:space="preserve">is specified, </w:t>
      </w:r>
      <w:r w:rsidR="000501A7">
        <w:t>the possibility to also support</w:t>
      </w:r>
      <w:r w:rsidR="0049585B">
        <w:t xml:space="preserve"> a CPC configuration within a CPC or CPA configuration</w:t>
      </w:r>
      <w:r w:rsidR="000501A7">
        <w:t xml:space="preserve"> may be supported without additional specification work</w:t>
      </w:r>
      <w:r w:rsidR="00261C7F">
        <w:t>.</w:t>
      </w:r>
      <w:bookmarkEnd w:id="6"/>
    </w:p>
    <w:p w14:paraId="3D8BA0A0" w14:textId="1C308097" w:rsidR="0049585B" w:rsidRDefault="00BC293D" w:rsidP="0049585B">
      <w:pPr>
        <w:pStyle w:val="Proposal"/>
      </w:pPr>
      <w:bookmarkStart w:id="7" w:name="_Toc110968995"/>
      <w:r>
        <w:t>RAN</w:t>
      </w:r>
      <w:r w:rsidR="000657D9">
        <w:t>2</w:t>
      </w:r>
      <w:r>
        <w:t xml:space="preserve"> to consider support for inclusion of CPC configuration within a CPC or CPA configuration, in case CP</w:t>
      </w:r>
      <w:r w:rsidR="00A16103">
        <w:t>C</w:t>
      </w:r>
      <w:r>
        <w:t>/CP</w:t>
      </w:r>
      <w:r w:rsidR="00A16103">
        <w:t>A</w:t>
      </w:r>
      <w:r>
        <w:t xml:space="preserve"> configuration is supported within CHO configuration.</w:t>
      </w:r>
      <w:bookmarkEnd w:id="7"/>
    </w:p>
    <w:p w14:paraId="666DE2AF" w14:textId="209E343C" w:rsidR="0049585B" w:rsidRDefault="0049585B" w:rsidP="00261C7F"/>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741A0BA" w14:textId="7412A3A1" w:rsidR="001176D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0968996" w:history="1">
        <w:r w:rsidR="001176D1" w:rsidRPr="00116046">
          <w:rPr>
            <w:rStyle w:val="Hyperlink"/>
            <w:noProof/>
          </w:rPr>
          <w:t>Observation 1</w:t>
        </w:r>
        <w:r w:rsidR="001176D1">
          <w:rPr>
            <w:rFonts w:asciiTheme="minorHAnsi" w:eastAsiaTheme="minorEastAsia" w:hAnsiTheme="minorHAnsi" w:cstheme="minorBidi"/>
            <w:b w:val="0"/>
            <w:noProof/>
            <w:sz w:val="22"/>
            <w:szCs w:val="22"/>
            <w:lang w:val="sv-SE" w:eastAsia="sv-SE"/>
          </w:rPr>
          <w:tab/>
        </w:r>
        <w:r w:rsidR="001176D1" w:rsidRPr="00116046">
          <w:rPr>
            <w:rStyle w:val="Hyperlink"/>
            <w:noProof/>
          </w:rPr>
          <w:t>In case support for CPC or CPA within a CHO configuration is specified, the possibility to also support a CPC configuration within a CPC or CPA configuration may be supported without additional specification work.</w:t>
        </w:r>
      </w:hyperlink>
    </w:p>
    <w:p w14:paraId="7570C759" w14:textId="1BBFC601"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546755A" w14:textId="1D61D89F" w:rsidR="001176D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68990" w:history="1">
        <w:r w:rsidR="001176D1" w:rsidRPr="00E44442">
          <w:rPr>
            <w:rStyle w:val="Hyperlink"/>
            <w:noProof/>
          </w:rPr>
          <w:t>Proposal 1</w:t>
        </w:r>
        <w:r w:rsidR="001176D1">
          <w:rPr>
            <w:rFonts w:asciiTheme="minorHAnsi" w:eastAsiaTheme="minorEastAsia" w:hAnsiTheme="minorHAnsi" w:cstheme="minorBidi"/>
            <w:b w:val="0"/>
            <w:noProof/>
            <w:sz w:val="22"/>
            <w:szCs w:val="22"/>
            <w:lang w:val="sv-SE" w:eastAsia="sv-SE"/>
          </w:rPr>
          <w:tab/>
        </w:r>
        <w:r w:rsidR="001176D1" w:rsidRPr="00E44442">
          <w:rPr>
            <w:rStyle w:val="Hyperlink"/>
            <w:noProof/>
          </w:rPr>
          <w:t xml:space="preserve">Only a single solution should be defined in Rel-18 for objective 2 (the </w:t>
        </w:r>
        <w:r w:rsidR="001176D1" w:rsidRPr="00E44442">
          <w:rPr>
            <w:rStyle w:val="Hyperlink"/>
            <w:noProof/>
            <w:lang w:val="en-US"/>
          </w:rPr>
          <w:t>NR-DC with selective activation of the cell groups)</w:t>
        </w:r>
        <w:r w:rsidR="001176D1" w:rsidRPr="00E44442">
          <w:rPr>
            <w:rStyle w:val="Hyperlink"/>
            <w:noProof/>
          </w:rPr>
          <w:t>.</w:t>
        </w:r>
      </w:hyperlink>
    </w:p>
    <w:p w14:paraId="7B10BC2F" w14:textId="5AA10DF8" w:rsidR="001176D1" w:rsidRDefault="001176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8991" w:history="1">
        <w:r w:rsidRPr="00E44442">
          <w:rPr>
            <w:rStyle w:val="Hyperlink"/>
            <w:noProof/>
          </w:rPr>
          <w:t>Proposal 2</w:t>
        </w:r>
        <w:r>
          <w:rPr>
            <w:rFonts w:asciiTheme="minorHAnsi" w:eastAsiaTheme="minorEastAsia" w:hAnsiTheme="minorHAnsi" w:cstheme="minorBidi"/>
            <w:b w:val="0"/>
            <w:noProof/>
            <w:sz w:val="22"/>
            <w:szCs w:val="22"/>
            <w:lang w:val="sv-SE" w:eastAsia="sv-SE"/>
          </w:rPr>
          <w:tab/>
        </w:r>
        <w:r w:rsidRPr="00E44442">
          <w:rPr>
            <w:rStyle w:val="Hyperlink"/>
            <w:noProof/>
          </w:rPr>
          <w:t>The selective activation of cell groups should correspond to support of subsequent conditional changes (CPC/CPA) after a cell group change.</w:t>
        </w:r>
      </w:hyperlink>
    </w:p>
    <w:p w14:paraId="4C1043A5" w14:textId="2AA630D3" w:rsidR="001176D1" w:rsidRDefault="001176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8992" w:history="1">
        <w:r w:rsidRPr="00E44442">
          <w:rPr>
            <w:rStyle w:val="Hyperlink"/>
            <w:noProof/>
          </w:rPr>
          <w:t>Proposal 3</w:t>
        </w:r>
        <w:r>
          <w:rPr>
            <w:rFonts w:asciiTheme="minorHAnsi" w:eastAsiaTheme="minorEastAsia" w:hAnsiTheme="minorHAnsi" w:cstheme="minorBidi"/>
            <w:b w:val="0"/>
            <w:noProof/>
            <w:sz w:val="22"/>
            <w:szCs w:val="22"/>
            <w:lang w:val="sv-SE" w:eastAsia="sv-SE"/>
          </w:rPr>
          <w:tab/>
        </w:r>
        <w:r w:rsidRPr="00E44442">
          <w:rPr>
            <w:rStyle w:val="Hyperlink"/>
            <w:noProof/>
          </w:rPr>
          <w:t>The subsequent conditional changes (CPC/CPA), without reconfiguration and re-initialization, should be enabled by keeping, i.e. not releasing, already existing conditional reconfigurations after performing a cell group change.</w:t>
        </w:r>
      </w:hyperlink>
    </w:p>
    <w:p w14:paraId="26FFF26D" w14:textId="1190009F" w:rsidR="001176D1" w:rsidRDefault="001176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8993" w:history="1">
        <w:r w:rsidRPr="00E44442">
          <w:rPr>
            <w:rStyle w:val="Hyperlink"/>
            <w:noProof/>
          </w:rPr>
          <w:t>Proposal 4</w:t>
        </w:r>
        <w:r>
          <w:rPr>
            <w:rFonts w:asciiTheme="minorHAnsi" w:eastAsiaTheme="minorEastAsia" w:hAnsiTheme="minorHAnsi" w:cstheme="minorBidi"/>
            <w:b w:val="0"/>
            <w:noProof/>
            <w:sz w:val="22"/>
            <w:szCs w:val="22"/>
            <w:lang w:val="sv-SE" w:eastAsia="sv-SE"/>
          </w:rPr>
          <w:tab/>
        </w:r>
        <w:r w:rsidRPr="00E44442">
          <w:rPr>
            <w:rStyle w:val="Hyperlink"/>
            <w:noProof/>
          </w:rPr>
          <w:t>Only selective activation of SCGs should be targeted in the Rel-18 work for objective 2, i.e. not for MCGs. This means that the work in Rel-18 should only consider keeping CPC or CPA configurations, i.e. not CHO configurations, at execution of other mobility procedures.</w:t>
        </w:r>
      </w:hyperlink>
    </w:p>
    <w:p w14:paraId="4403FF23" w14:textId="7F18ADF2" w:rsidR="001176D1" w:rsidRDefault="001176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8994" w:history="1">
        <w:r w:rsidRPr="00E44442">
          <w:rPr>
            <w:rStyle w:val="Hyperlink"/>
            <w:noProof/>
          </w:rPr>
          <w:t>Proposal 5</w:t>
        </w:r>
        <w:r>
          <w:rPr>
            <w:rFonts w:asciiTheme="minorHAnsi" w:eastAsiaTheme="minorEastAsia" w:hAnsiTheme="minorHAnsi" w:cstheme="minorBidi"/>
            <w:b w:val="0"/>
            <w:noProof/>
            <w:sz w:val="22"/>
            <w:szCs w:val="22"/>
            <w:lang w:val="sv-SE" w:eastAsia="sv-SE"/>
          </w:rPr>
          <w:tab/>
        </w:r>
        <w:r w:rsidRPr="00E44442">
          <w:rPr>
            <w:rStyle w:val="Hyperlink"/>
            <w:noProof/>
          </w:rPr>
          <w:t>The mobility procedures where it should be possible to keep a conditional reconfiguration for the SCG (e.g. CPC) should correspond to any type of SCG mobility procedure, i.e. both CPC execution and normal PSCell changes should be applicable. TBD whether it is applicable also in case there is a change of MCG, i.e. at a CHO execution or a normal HO.</w:t>
        </w:r>
      </w:hyperlink>
    </w:p>
    <w:p w14:paraId="685FBCC0" w14:textId="62E84578" w:rsidR="001176D1" w:rsidRDefault="001176D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68995" w:history="1">
        <w:r w:rsidRPr="00E44442">
          <w:rPr>
            <w:rStyle w:val="Hyperlink"/>
            <w:noProof/>
          </w:rPr>
          <w:t>Proposal 6</w:t>
        </w:r>
        <w:r>
          <w:rPr>
            <w:rFonts w:asciiTheme="minorHAnsi" w:eastAsiaTheme="minorEastAsia" w:hAnsiTheme="minorHAnsi" w:cstheme="minorBidi"/>
            <w:b w:val="0"/>
            <w:noProof/>
            <w:sz w:val="22"/>
            <w:szCs w:val="22"/>
            <w:lang w:val="sv-SE" w:eastAsia="sv-SE"/>
          </w:rPr>
          <w:tab/>
        </w:r>
        <w:r w:rsidRPr="00E44442">
          <w:rPr>
            <w:rStyle w:val="Hyperlink"/>
            <w:noProof/>
          </w:rPr>
          <w:t>RAN2 to consider support for inclusion of CPC configuration within a CPC or CPA configuration, in case CPC/CPA configuration is supported within CHO configuration.</w:t>
        </w:r>
      </w:hyperlink>
    </w:p>
    <w:p w14:paraId="0307436E" w14:textId="3BD90630" w:rsidR="006E1C82" w:rsidRPr="00CE0424" w:rsidRDefault="006E1C82" w:rsidP="006E1C82">
      <w:pPr>
        <w:pStyle w:val="BodyText"/>
        <w:rPr>
          <w:b/>
          <w:bCs/>
        </w:rPr>
      </w:pPr>
      <w:r>
        <w:rPr>
          <w:b/>
          <w:bCs/>
          <w:lang w:val="en-US"/>
        </w:rPr>
        <w:fldChar w:fldCharType="end"/>
      </w:r>
      <w:r w:rsidRPr="00CE0424">
        <w:rPr>
          <w:b/>
          <w:bCs/>
        </w:rPr>
        <w:t xml:space="preserve"> </w:t>
      </w:r>
    </w:p>
    <w:p w14:paraId="64F3E645" w14:textId="77777777" w:rsidR="00C01F33" w:rsidRPr="00CE0424" w:rsidRDefault="00C01F33" w:rsidP="006E062C"/>
    <w:p w14:paraId="7BD5CFC3" w14:textId="77777777" w:rsidR="00F507D1" w:rsidRPr="00CE0424" w:rsidRDefault="00F507D1" w:rsidP="00CE0424">
      <w:pPr>
        <w:pStyle w:val="Heading1"/>
      </w:pPr>
      <w:bookmarkStart w:id="8" w:name="_In-sequence_SDU_delivery"/>
      <w:bookmarkEnd w:id="8"/>
      <w:r w:rsidRPr="00CE0424">
        <w:t>References</w:t>
      </w:r>
    </w:p>
    <w:p w14:paraId="5DCC939F" w14:textId="249279EC" w:rsidR="003A7EF3" w:rsidRPr="00CE0424" w:rsidRDefault="00FD4266" w:rsidP="00CE0424">
      <w:pPr>
        <w:pStyle w:val="Reference"/>
      </w:pPr>
      <w:bookmarkStart w:id="9" w:name="_Ref107489175"/>
      <w:bookmarkStart w:id="10" w:name="_Ref174151459"/>
      <w:bookmarkStart w:id="11" w:name="_Ref189809556"/>
      <w:r w:rsidRPr="00FD4266">
        <w:t>RP-221799</w:t>
      </w:r>
      <w:r w:rsidR="005F3025" w:rsidRPr="00CE0424">
        <w:t xml:space="preserve">, </w:t>
      </w:r>
      <w:r w:rsidRPr="00FD4266">
        <w:t>Revised WID on Further NR mobility enhancements</w:t>
      </w:r>
      <w:r w:rsidR="005F3025" w:rsidRPr="00CE0424">
        <w:t xml:space="preserve">, </w:t>
      </w:r>
      <w:r w:rsidRPr="00FD4266">
        <w:t>MediaTek Inc.</w:t>
      </w:r>
      <w:r w:rsidR="005F3025" w:rsidRPr="00CE0424">
        <w:t xml:space="preserve">, </w:t>
      </w:r>
      <w:r w:rsidRPr="00FD4266">
        <w:t>3GPP TSG RAN Meeting #96</w:t>
      </w:r>
      <w:r w:rsidR="005F3025" w:rsidRPr="00CE0424">
        <w:t xml:space="preserve">, </w:t>
      </w:r>
      <w:r w:rsidRPr="00FD4266">
        <w:t>June 6-9, 2022</w:t>
      </w:r>
      <w:bookmarkEnd w:id="9"/>
      <w:bookmarkEnd w:id="10"/>
      <w:bookmarkEnd w:id="11"/>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14721" w14:textId="77777777" w:rsidR="000B715F" w:rsidRDefault="000B715F">
      <w:r>
        <w:separator/>
      </w:r>
    </w:p>
  </w:endnote>
  <w:endnote w:type="continuationSeparator" w:id="0">
    <w:p w14:paraId="6A0CD03B" w14:textId="77777777" w:rsidR="000B715F" w:rsidRDefault="000B7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CF0CF" w14:textId="77777777" w:rsidR="000B715F" w:rsidRDefault="000B715F">
      <w:r>
        <w:separator/>
      </w:r>
    </w:p>
  </w:footnote>
  <w:footnote w:type="continuationSeparator" w:id="0">
    <w:p w14:paraId="6AF9F700" w14:textId="77777777" w:rsidR="000B715F" w:rsidRDefault="000B7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FEE9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09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218C56DE"/>
    <w:lvl w:ilvl="0" w:tplc="D20467D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7D853957"/>
    <w:multiLevelType w:val="hybridMultilevel"/>
    <w:tmpl w:val="AE601014"/>
    <w:lvl w:ilvl="0" w:tplc="9F6C62F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9"/>
  </w:num>
  <w:num w:numId="15">
    <w:abstractNumId w:val="14"/>
  </w:num>
  <w:num w:numId="16">
    <w:abstractNumId w:val="21"/>
  </w:num>
  <w:num w:numId="17">
    <w:abstractNumId w:val="6"/>
  </w:num>
  <w:num w:numId="18">
    <w:abstractNumId w:val="7"/>
  </w:num>
  <w:num w:numId="19">
    <w:abstractNumId w:val="5"/>
  </w:num>
  <w:num w:numId="20">
    <w:abstractNumId w:val="23"/>
  </w:num>
  <w:num w:numId="21">
    <w:abstractNumId w:val="11"/>
  </w:num>
  <w:num w:numId="22">
    <w:abstractNumId w:val="22"/>
  </w:num>
  <w:num w:numId="23">
    <w:abstractNumId w:val="18"/>
  </w:num>
  <w:num w:numId="24">
    <w:abstractNumId w:val="4"/>
  </w:num>
  <w:num w:numId="25">
    <w:abstractNumId w:val="25"/>
  </w:num>
  <w:num w:numId="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01A7"/>
    <w:rsid w:val="00052A07"/>
    <w:rsid w:val="000534E3"/>
    <w:rsid w:val="0005606A"/>
    <w:rsid w:val="00057117"/>
    <w:rsid w:val="000616E7"/>
    <w:rsid w:val="0006487E"/>
    <w:rsid w:val="000657D9"/>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15F"/>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6D1"/>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4729"/>
    <w:rsid w:val="001A6173"/>
    <w:rsid w:val="001A6CBA"/>
    <w:rsid w:val="001B0D97"/>
    <w:rsid w:val="001B5A5D"/>
    <w:rsid w:val="001C1CE5"/>
    <w:rsid w:val="001C3D2A"/>
    <w:rsid w:val="001D1874"/>
    <w:rsid w:val="001D51BA"/>
    <w:rsid w:val="001D53E7"/>
    <w:rsid w:val="001D6342"/>
    <w:rsid w:val="001D6D53"/>
    <w:rsid w:val="001E4C4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1C7F"/>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76B"/>
    <w:rsid w:val="002F2771"/>
    <w:rsid w:val="002F37A9"/>
    <w:rsid w:val="00301CE6"/>
    <w:rsid w:val="0030256B"/>
    <w:rsid w:val="0030501F"/>
    <w:rsid w:val="00307BA1"/>
    <w:rsid w:val="00311702"/>
    <w:rsid w:val="00311E82"/>
    <w:rsid w:val="00311FBC"/>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08B4"/>
    <w:rsid w:val="00370E47"/>
    <w:rsid w:val="003742AC"/>
    <w:rsid w:val="00374562"/>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6F9E"/>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A33"/>
    <w:rsid w:val="004242F4"/>
    <w:rsid w:val="00427248"/>
    <w:rsid w:val="00437447"/>
    <w:rsid w:val="00441A92"/>
    <w:rsid w:val="004431DC"/>
    <w:rsid w:val="00444F56"/>
    <w:rsid w:val="00446488"/>
    <w:rsid w:val="004517AA"/>
    <w:rsid w:val="00452CAC"/>
    <w:rsid w:val="0045360A"/>
    <w:rsid w:val="00457565"/>
    <w:rsid w:val="00457B71"/>
    <w:rsid w:val="004669E2"/>
    <w:rsid w:val="00470C31"/>
    <w:rsid w:val="00471DE0"/>
    <w:rsid w:val="004734D0"/>
    <w:rsid w:val="0047556B"/>
    <w:rsid w:val="00477768"/>
    <w:rsid w:val="00492BC5"/>
    <w:rsid w:val="0049585B"/>
    <w:rsid w:val="004964F1"/>
    <w:rsid w:val="004A16BC"/>
    <w:rsid w:val="004A2B94"/>
    <w:rsid w:val="004A2D00"/>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64F"/>
    <w:rsid w:val="005219CF"/>
    <w:rsid w:val="00526E99"/>
    <w:rsid w:val="00534B59"/>
    <w:rsid w:val="00536759"/>
    <w:rsid w:val="00537C62"/>
    <w:rsid w:val="00546970"/>
    <w:rsid w:val="00554E19"/>
    <w:rsid w:val="0056121F"/>
    <w:rsid w:val="00563A8F"/>
    <w:rsid w:val="00572505"/>
    <w:rsid w:val="0058250D"/>
    <w:rsid w:val="00582809"/>
    <w:rsid w:val="0058798C"/>
    <w:rsid w:val="005900FA"/>
    <w:rsid w:val="005914E1"/>
    <w:rsid w:val="005935A4"/>
    <w:rsid w:val="005948C2"/>
    <w:rsid w:val="00595DCA"/>
    <w:rsid w:val="0059779B"/>
    <w:rsid w:val="00597DCE"/>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137"/>
    <w:rsid w:val="00611B83"/>
    <w:rsid w:val="00613257"/>
    <w:rsid w:val="00620A71"/>
    <w:rsid w:val="00620D80"/>
    <w:rsid w:val="006234A6"/>
    <w:rsid w:val="00630001"/>
    <w:rsid w:val="006311B3"/>
    <w:rsid w:val="006320E0"/>
    <w:rsid w:val="0063284C"/>
    <w:rsid w:val="00633B7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8C2"/>
    <w:rsid w:val="0069171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D8E"/>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5AE4"/>
    <w:rsid w:val="007362A6"/>
    <w:rsid w:val="00736D7D"/>
    <w:rsid w:val="00740E58"/>
    <w:rsid w:val="007445A0"/>
    <w:rsid w:val="0074524B"/>
    <w:rsid w:val="00747D8B"/>
    <w:rsid w:val="00751228"/>
    <w:rsid w:val="007571E1"/>
    <w:rsid w:val="00757A16"/>
    <w:rsid w:val="007604B2"/>
    <w:rsid w:val="00761C9F"/>
    <w:rsid w:val="00765281"/>
    <w:rsid w:val="00766BAD"/>
    <w:rsid w:val="007729A2"/>
    <w:rsid w:val="007755F2"/>
    <w:rsid w:val="00776971"/>
    <w:rsid w:val="00780A80"/>
    <w:rsid w:val="0078177E"/>
    <w:rsid w:val="00781BA6"/>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D90"/>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38A"/>
    <w:rsid w:val="00891F54"/>
    <w:rsid w:val="008930F3"/>
    <w:rsid w:val="008941E3"/>
    <w:rsid w:val="00894A88"/>
    <w:rsid w:val="00895386"/>
    <w:rsid w:val="008A21FF"/>
    <w:rsid w:val="008A2CE2"/>
    <w:rsid w:val="008A30AC"/>
    <w:rsid w:val="008A44B8"/>
    <w:rsid w:val="008A51A8"/>
    <w:rsid w:val="008A54C7"/>
    <w:rsid w:val="008A6729"/>
    <w:rsid w:val="008A77D8"/>
    <w:rsid w:val="008B0483"/>
    <w:rsid w:val="008B120C"/>
    <w:rsid w:val="008B51A0"/>
    <w:rsid w:val="008B592A"/>
    <w:rsid w:val="008B7B5C"/>
    <w:rsid w:val="008C0C99"/>
    <w:rsid w:val="008C2017"/>
    <w:rsid w:val="008C387A"/>
    <w:rsid w:val="008C4958"/>
    <w:rsid w:val="008C4BAA"/>
    <w:rsid w:val="008C6AE8"/>
    <w:rsid w:val="008C7573"/>
    <w:rsid w:val="008D00A5"/>
    <w:rsid w:val="008D34F1"/>
    <w:rsid w:val="008D39D8"/>
    <w:rsid w:val="008D6D1A"/>
    <w:rsid w:val="008E065E"/>
    <w:rsid w:val="008E0927"/>
    <w:rsid w:val="008E1909"/>
    <w:rsid w:val="008E73A4"/>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AF5"/>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87F1F"/>
    <w:rsid w:val="00990630"/>
    <w:rsid w:val="00991761"/>
    <w:rsid w:val="00994DCA"/>
    <w:rsid w:val="009960EC"/>
    <w:rsid w:val="009970DD"/>
    <w:rsid w:val="009A0FBA"/>
    <w:rsid w:val="009A1601"/>
    <w:rsid w:val="009A3BB6"/>
    <w:rsid w:val="009A462D"/>
    <w:rsid w:val="009A5CBA"/>
    <w:rsid w:val="009A7003"/>
    <w:rsid w:val="009B1F30"/>
    <w:rsid w:val="009B3AC2"/>
    <w:rsid w:val="009B4DF4"/>
    <w:rsid w:val="009B564E"/>
    <w:rsid w:val="009B7E87"/>
    <w:rsid w:val="009C0169"/>
    <w:rsid w:val="009C403E"/>
    <w:rsid w:val="009D3761"/>
    <w:rsid w:val="009D4FF0"/>
    <w:rsid w:val="009D703C"/>
    <w:rsid w:val="009D718F"/>
    <w:rsid w:val="009E068F"/>
    <w:rsid w:val="009E14E0"/>
    <w:rsid w:val="009E35DB"/>
    <w:rsid w:val="009E47A3"/>
    <w:rsid w:val="009F08F3"/>
    <w:rsid w:val="009F344F"/>
    <w:rsid w:val="00A031D8"/>
    <w:rsid w:val="00A048A8"/>
    <w:rsid w:val="00A04F49"/>
    <w:rsid w:val="00A13E54"/>
    <w:rsid w:val="00A16103"/>
    <w:rsid w:val="00A17F63"/>
    <w:rsid w:val="00A2193B"/>
    <w:rsid w:val="00A2351A"/>
    <w:rsid w:val="00A264A9"/>
    <w:rsid w:val="00A26DCF"/>
    <w:rsid w:val="00A27785"/>
    <w:rsid w:val="00A30187"/>
    <w:rsid w:val="00A3448A"/>
    <w:rsid w:val="00A36297"/>
    <w:rsid w:val="00A41E2B"/>
    <w:rsid w:val="00A45B74"/>
    <w:rsid w:val="00A476DA"/>
    <w:rsid w:val="00A52E1D"/>
    <w:rsid w:val="00A61499"/>
    <w:rsid w:val="00A62A77"/>
    <w:rsid w:val="00A63483"/>
    <w:rsid w:val="00A657D7"/>
    <w:rsid w:val="00A660AC"/>
    <w:rsid w:val="00A67E6C"/>
    <w:rsid w:val="00A71B99"/>
    <w:rsid w:val="00A739D0"/>
    <w:rsid w:val="00A761D4"/>
    <w:rsid w:val="00A77EC4"/>
    <w:rsid w:val="00A874E2"/>
    <w:rsid w:val="00A92879"/>
    <w:rsid w:val="00A9442A"/>
    <w:rsid w:val="00AA016F"/>
    <w:rsid w:val="00AA1ED6"/>
    <w:rsid w:val="00AA51D6"/>
    <w:rsid w:val="00AB0BC8"/>
    <w:rsid w:val="00AB11CA"/>
    <w:rsid w:val="00AB14D9"/>
    <w:rsid w:val="00AB4AB8"/>
    <w:rsid w:val="00AB655E"/>
    <w:rsid w:val="00AC007F"/>
    <w:rsid w:val="00AC2ECD"/>
    <w:rsid w:val="00AC3119"/>
    <w:rsid w:val="00AC3B80"/>
    <w:rsid w:val="00AC49FB"/>
    <w:rsid w:val="00AC5A10"/>
    <w:rsid w:val="00AD0AA3"/>
    <w:rsid w:val="00AD3F94"/>
    <w:rsid w:val="00AD4A5A"/>
    <w:rsid w:val="00AE27AC"/>
    <w:rsid w:val="00AE40E0"/>
    <w:rsid w:val="00AE4DBA"/>
    <w:rsid w:val="00AE4F07"/>
    <w:rsid w:val="00AF1C5D"/>
    <w:rsid w:val="00AF39EE"/>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3BF6"/>
    <w:rsid w:val="00B9406A"/>
    <w:rsid w:val="00BA2280"/>
    <w:rsid w:val="00BA2A08"/>
    <w:rsid w:val="00BA56D2"/>
    <w:rsid w:val="00BA76E0"/>
    <w:rsid w:val="00BB2A25"/>
    <w:rsid w:val="00BB51E9"/>
    <w:rsid w:val="00BC0FDC"/>
    <w:rsid w:val="00BC293D"/>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83E"/>
    <w:rsid w:val="00C12107"/>
    <w:rsid w:val="00C14D4B"/>
    <w:rsid w:val="00C154BB"/>
    <w:rsid w:val="00C268E6"/>
    <w:rsid w:val="00C279B5"/>
    <w:rsid w:val="00C27C45"/>
    <w:rsid w:val="00C30B92"/>
    <w:rsid w:val="00C30C7C"/>
    <w:rsid w:val="00C3719D"/>
    <w:rsid w:val="00C37CB2"/>
    <w:rsid w:val="00C473A5"/>
    <w:rsid w:val="00C54995"/>
    <w:rsid w:val="00C54D41"/>
    <w:rsid w:val="00C60783"/>
    <w:rsid w:val="00C64672"/>
    <w:rsid w:val="00C67476"/>
    <w:rsid w:val="00C70697"/>
    <w:rsid w:val="00C72093"/>
    <w:rsid w:val="00C72EF4"/>
    <w:rsid w:val="00C744FE"/>
    <w:rsid w:val="00C75D2F"/>
    <w:rsid w:val="00C767BE"/>
    <w:rsid w:val="00C76E3C"/>
    <w:rsid w:val="00C81568"/>
    <w:rsid w:val="00C87FD7"/>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E7EEE"/>
    <w:rsid w:val="00CF1354"/>
    <w:rsid w:val="00CF3B1F"/>
    <w:rsid w:val="00CF3BF6"/>
    <w:rsid w:val="00CF625B"/>
    <w:rsid w:val="00CF687E"/>
    <w:rsid w:val="00D0349B"/>
    <w:rsid w:val="00D10249"/>
    <w:rsid w:val="00D115C3"/>
    <w:rsid w:val="00D11897"/>
    <w:rsid w:val="00D13135"/>
    <w:rsid w:val="00D13E4E"/>
    <w:rsid w:val="00D2241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4B6"/>
    <w:rsid w:val="00DA2C77"/>
    <w:rsid w:val="00DA305E"/>
    <w:rsid w:val="00DA5417"/>
    <w:rsid w:val="00DA56E8"/>
    <w:rsid w:val="00DB0A9F"/>
    <w:rsid w:val="00DB2CE8"/>
    <w:rsid w:val="00DB377D"/>
    <w:rsid w:val="00DB3F00"/>
    <w:rsid w:val="00DC2D36"/>
    <w:rsid w:val="00DC53EF"/>
    <w:rsid w:val="00DE5608"/>
    <w:rsid w:val="00DE58D0"/>
    <w:rsid w:val="00DE654F"/>
    <w:rsid w:val="00DF0B6E"/>
    <w:rsid w:val="00DF15E0"/>
    <w:rsid w:val="00DF37A0"/>
    <w:rsid w:val="00DF66E1"/>
    <w:rsid w:val="00E013F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293"/>
    <w:rsid w:val="00E42038"/>
    <w:rsid w:val="00E446F1"/>
    <w:rsid w:val="00E46886"/>
    <w:rsid w:val="00E47AEF"/>
    <w:rsid w:val="00E53B75"/>
    <w:rsid w:val="00E54E3B"/>
    <w:rsid w:val="00E57565"/>
    <w:rsid w:val="00E63838"/>
    <w:rsid w:val="00E63AA5"/>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520"/>
    <w:rsid w:val="00EC5653"/>
    <w:rsid w:val="00EC71CE"/>
    <w:rsid w:val="00EC782B"/>
    <w:rsid w:val="00ED1006"/>
    <w:rsid w:val="00ED56B1"/>
    <w:rsid w:val="00EF18FE"/>
    <w:rsid w:val="00EF5787"/>
    <w:rsid w:val="00EF60D0"/>
    <w:rsid w:val="00F018E8"/>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30A"/>
    <w:rsid w:val="00F5060E"/>
    <w:rsid w:val="00F507D1"/>
    <w:rsid w:val="00F519CE"/>
    <w:rsid w:val="00F51ADA"/>
    <w:rsid w:val="00F52594"/>
    <w:rsid w:val="00F55511"/>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2AF"/>
    <w:rsid w:val="00FC7429"/>
    <w:rsid w:val="00FD07F6"/>
    <w:rsid w:val="00FD1EC8"/>
    <w:rsid w:val="00FD4266"/>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FED00-E37E-4B01-AF9C-6A370046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1691</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Cecilia</cp:lastModifiedBy>
  <cp:revision>3</cp:revision>
  <cp:lastPrinted>2008-01-31T07:09:00Z</cp:lastPrinted>
  <dcterms:created xsi:type="dcterms:W3CDTF">2022-08-09T18:22:00Z</dcterms:created>
  <dcterms:modified xsi:type="dcterms:W3CDTF">2022-08-09T18:23:00Z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